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C04E6" w14:textId="34CF4607" w:rsidR="00BB1CBA" w:rsidRDefault="00BB1CBA" w:rsidP="004D550D">
      <w:pPr>
        <w:pStyle w:val="Nadpis1"/>
        <w:rPr>
          <w:sz w:val="40"/>
        </w:rPr>
      </w:pPr>
      <w:r w:rsidRPr="004D550D">
        <w:rPr>
          <w:sz w:val="40"/>
        </w:rPr>
        <w:t>Ptačí parky Č</w:t>
      </w:r>
      <w:r w:rsidR="004D550D" w:rsidRPr="004D550D">
        <w:rPr>
          <w:sz w:val="40"/>
        </w:rPr>
        <w:t>eské společnosti ornitologické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3109"/>
        <w:gridCol w:w="3143"/>
      </w:tblGrid>
      <w:tr w:rsidR="009517A3" w14:paraId="19332B90" w14:textId="77777777" w:rsidTr="00D3537F">
        <w:tc>
          <w:tcPr>
            <w:tcW w:w="3020" w:type="dxa"/>
          </w:tcPr>
          <w:p w14:paraId="447DFEF2" w14:textId="72840656" w:rsidR="009517A3" w:rsidRDefault="009517A3" w:rsidP="009517A3">
            <w:r>
              <w:rPr>
                <w:noProof/>
                <w:lang w:eastAsia="cs-CZ"/>
              </w:rPr>
              <w:drawing>
                <wp:inline distT="0" distB="0" distL="0" distR="0" wp14:anchorId="4DF40515" wp14:editId="6F5F2306">
                  <wp:extent cx="1665598" cy="1249200"/>
                  <wp:effectExtent l="0" t="0" r="0" b="825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ozorovatelna ve vstupním areálu-Břeněk Michále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598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0AA5C1D" w14:textId="45B80214" w:rsidR="009517A3" w:rsidRDefault="009517A3" w:rsidP="009517A3">
            <w:r>
              <w:rPr>
                <w:noProof/>
                <w:lang w:eastAsia="cs-CZ"/>
              </w:rPr>
              <w:drawing>
                <wp:inline distT="0" distB="0" distL="0" distR="0" wp14:anchorId="3F348505" wp14:editId="3D35D2BD">
                  <wp:extent cx="1850242" cy="1249200"/>
                  <wp:effectExtent l="0" t="0" r="0" b="825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ejcata-jerab-labute-kachna-na-JL-Foto-Ota-Val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6" t="16941" r="7808" b="11504"/>
                          <a:stretch/>
                        </pic:blipFill>
                        <pic:spPr bwMode="auto">
                          <a:xfrm>
                            <a:off x="0" y="0"/>
                            <a:ext cx="1850242" cy="124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29C81FB" w14:textId="1D4538FF" w:rsidR="009517A3" w:rsidRDefault="009517A3" w:rsidP="009517A3">
            <w:r>
              <w:rPr>
                <w:noProof/>
                <w:lang w:eastAsia="cs-CZ"/>
              </w:rPr>
              <w:drawing>
                <wp:inline distT="0" distB="0" distL="0" distR="0" wp14:anchorId="03A855D3" wp14:editId="0E310AB9">
                  <wp:extent cx="1872000" cy="1248389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SC_47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24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4B3DC" w14:textId="7E73323E" w:rsidR="00BB1CBA" w:rsidRDefault="00BB1CBA" w:rsidP="00105E37">
      <w:pPr>
        <w:pStyle w:val="Nadpis2"/>
      </w:pPr>
      <w:r>
        <w:t>Strategie 2022–204</w:t>
      </w:r>
      <w:r w:rsidR="000D3D25">
        <w:t>2</w:t>
      </w:r>
    </w:p>
    <w:p w14:paraId="717971C2" w14:textId="2C5AB825" w:rsidR="00DF15D9" w:rsidRDefault="00DF15D9" w:rsidP="00027E54">
      <w:r>
        <w:t xml:space="preserve">Ve 20. letech 21. století zažíváme zdaleka největší </w:t>
      </w:r>
      <w:r w:rsidR="00972553">
        <w:t>úbytek</w:t>
      </w:r>
      <w:r>
        <w:t xml:space="preserve"> přírodní rozmanitosti v historii lidstva. Je zřejmé, že k zastavení soustavného vymírání druhů a oslabování genofondu nestačí jen chránit vybrané dochované části přírody, ale je třeba </w:t>
      </w:r>
      <w:r w:rsidR="00105E37">
        <w:t xml:space="preserve">také </w:t>
      </w:r>
      <w:r>
        <w:t xml:space="preserve">aktivní obnova hodnotných přírodních stanovišť. Tato potřeba je již obecně přijímaným </w:t>
      </w:r>
      <w:r w:rsidR="00972553">
        <w:t>vzorem</w:t>
      </w:r>
      <w:r w:rsidR="003C22D3">
        <w:t xml:space="preserve"> a v řadě případů se mění v obecně sdílenou veřejnou objednávku</w:t>
      </w:r>
      <w:r>
        <w:t xml:space="preserve">. Reálnými projevy jsou pak například skutečnosti, že </w:t>
      </w:r>
      <w:r w:rsidR="00972553">
        <w:t>Organizace spojených národů</w:t>
      </w:r>
      <w:r>
        <w:t xml:space="preserve"> vyhlásil</w:t>
      </w:r>
      <w:r w:rsidR="00972553">
        <w:t>a</w:t>
      </w:r>
      <w:r>
        <w:t xml:space="preserve"> toto desetiletí za Desetiletí přírodní obnovy a v Evropské unii je v plném proudu příprava legislativy, která k obnově přírodního prostředí zaváže členské státy. </w:t>
      </w:r>
    </w:p>
    <w:p w14:paraId="7420A318" w14:textId="28C9600F" w:rsidR="00DF15D9" w:rsidRDefault="00DF15D9" w:rsidP="00027E54">
      <w:r>
        <w:t xml:space="preserve">Aby mohly být tyto </w:t>
      </w:r>
      <w:r w:rsidR="00972553">
        <w:t>velkorysé</w:t>
      </w:r>
      <w:r>
        <w:t xml:space="preserve"> plány úspěšné, je třeba do jejich realizace kromě státních institucí zapojit i ostatní složky společnosti, od </w:t>
      </w:r>
      <w:r w:rsidR="00105E37">
        <w:t xml:space="preserve">jednotlivých občanů a </w:t>
      </w:r>
      <w:r>
        <w:t xml:space="preserve">soukromých subjektů po nevládní </w:t>
      </w:r>
      <w:r w:rsidR="00972553">
        <w:t xml:space="preserve">neziskové </w:t>
      </w:r>
      <w:r>
        <w:t xml:space="preserve">organizace. Současně se nabízí </w:t>
      </w:r>
      <w:r w:rsidR="00105E37">
        <w:t xml:space="preserve">možnost </w:t>
      </w:r>
      <w:r>
        <w:t>větší</w:t>
      </w:r>
      <w:r w:rsidR="00105E37">
        <w:t>ho</w:t>
      </w:r>
      <w:r>
        <w:t xml:space="preserve"> využití </w:t>
      </w:r>
      <w:r w:rsidR="00972553">
        <w:t>jednoho z nejsilnějších nástrojů</w:t>
      </w:r>
      <w:r>
        <w:t xml:space="preserve"> ochrany přírody, který je k dispozici a který </w:t>
      </w:r>
      <w:r w:rsidR="00105E37">
        <w:t>byl</w:t>
      </w:r>
      <w:r>
        <w:t xml:space="preserve"> v Česku zatím </w:t>
      </w:r>
      <w:r w:rsidR="00105E37">
        <w:t>využíván</w:t>
      </w:r>
      <w:r>
        <w:t xml:space="preserve"> </w:t>
      </w:r>
      <w:r w:rsidR="00972553">
        <w:t>jen omezeně</w:t>
      </w:r>
      <w:r>
        <w:t xml:space="preserve">, totiž práva vlastnického. </w:t>
      </w:r>
      <w:r w:rsidR="00972553">
        <w:t>V</w:t>
      </w:r>
      <w:r>
        <w:t xml:space="preserve"> českých podmínkách existují příklady, </w:t>
      </w:r>
      <w:r w:rsidR="00972553">
        <w:t xml:space="preserve">které tento princip naplňují, a to </w:t>
      </w:r>
      <w:r>
        <w:t xml:space="preserve">včetně </w:t>
      </w:r>
      <w:r w:rsidR="007649E4">
        <w:t>stávající</w:t>
      </w:r>
      <w:r w:rsidR="00A47023">
        <w:t>c</w:t>
      </w:r>
      <w:r w:rsidR="007649E4">
        <w:t>h</w:t>
      </w:r>
      <w:r>
        <w:t xml:space="preserve"> ptačích parků ČSO</w:t>
      </w:r>
      <w:r w:rsidR="00972553">
        <w:t>. Tyto a podobné projekty</w:t>
      </w:r>
      <w:r>
        <w:t xml:space="preserve"> ukazují smysluplnost a efektivitu tohoto přístupu.</w:t>
      </w:r>
    </w:p>
    <w:p w14:paraId="22035202" w14:textId="2B20841C" w:rsidR="00DF15D9" w:rsidRDefault="00972553" w:rsidP="00027E54">
      <w:r>
        <w:t>S</w:t>
      </w:r>
      <w:r w:rsidR="00990A82">
        <w:t xml:space="preserve">trategie </w:t>
      </w:r>
      <w:r>
        <w:t xml:space="preserve">ptačích parků </w:t>
      </w:r>
      <w:r w:rsidR="00990A82">
        <w:t xml:space="preserve">má být </w:t>
      </w:r>
      <w:r w:rsidR="00105E37">
        <w:t xml:space="preserve">dlouhodobým </w:t>
      </w:r>
      <w:r w:rsidR="00990A82">
        <w:t>příspěvkem České společnosti ornitologické k naplňování náročného celospolečenského závazku, kterým obnova přírodní rozmanitosti je.</w:t>
      </w:r>
    </w:p>
    <w:p w14:paraId="2879DD3D" w14:textId="354B69C5" w:rsidR="007262F8" w:rsidRDefault="00990A82" w:rsidP="00105E37">
      <w:pPr>
        <w:pStyle w:val="Nadpis3"/>
      </w:pPr>
      <w:r>
        <w:t>Výchozí stav</w:t>
      </w:r>
    </w:p>
    <w:p w14:paraId="3EF463C8" w14:textId="1B4A90FC" w:rsidR="00E41B9C" w:rsidRDefault="00990A82" w:rsidP="00695475">
      <w:r>
        <w:t xml:space="preserve">Česká společnost ornitologická začala budovat své ptačí parky v roce 2006. Od počátku </w:t>
      </w:r>
      <w:r w:rsidR="00972553">
        <w:t>provázely jejich vznik</w:t>
      </w:r>
      <w:r>
        <w:t xml:space="preserve"> dvě hlavní myšlenky: (a) ochran</w:t>
      </w:r>
      <w:r w:rsidR="00972553">
        <w:t>a</w:t>
      </w:r>
      <w:r>
        <w:t xml:space="preserve"> přírody formou vlastnictví pozemků a (b) aktivní obnov</w:t>
      </w:r>
      <w:r w:rsidR="00972553">
        <w:t>a</w:t>
      </w:r>
      <w:r>
        <w:t xml:space="preserve"> hodnotného přírodního prostředí</w:t>
      </w:r>
      <w:r w:rsidR="00972553">
        <w:t xml:space="preserve"> mimo státem zřízená chráněná území</w:t>
      </w:r>
      <w:r>
        <w:t>. Od roku 2008 existuje</w:t>
      </w:r>
      <w:r w:rsidR="00597B57">
        <w:t xml:space="preserve"> p</w:t>
      </w:r>
      <w:r>
        <w:t xml:space="preserve">tačí park Josefovské louky (u Jaroměře ve východních Čechách), ke kterému se v roce 2020 přidaly tři další: Mnišské louky (u České Lípy v severních Čechách), Kosteliska (u Dubňan na jižní Moravě) a Malá Lipová (u Přerova na střední Moravě). Zejména </w:t>
      </w:r>
      <w:r w:rsidR="00972553">
        <w:t>nej</w:t>
      </w:r>
      <w:r>
        <w:t>déle existující Josefovské louky ukazují</w:t>
      </w:r>
      <w:r w:rsidR="00105E37">
        <w:t>,</w:t>
      </w:r>
      <w:r>
        <w:t xml:space="preserve"> jak obrovský potenciál obnovní projekt</w:t>
      </w:r>
      <w:r w:rsidR="00105E37">
        <w:t>y mají</w:t>
      </w:r>
      <w:r>
        <w:t>,</w:t>
      </w:r>
      <w:r w:rsidR="00105E37">
        <w:t xml:space="preserve"> </w:t>
      </w:r>
      <w:r w:rsidR="00972553">
        <w:t xml:space="preserve">a </w:t>
      </w:r>
      <w:r w:rsidR="00105E37">
        <w:t xml:space="preserve">že jejich realizace </w:t>
      </w:r>
      <w:r w:rsidR="00972553">
        <w:t xml:space="preserve">je </w:t>
      </w:r>
      <w:r w:rsidR="00105E37">
        <w:t xml:space="preserve">v podmínkách nevládní </w:t>
      </w:r>
      <w:r w:rsidR="00972553">
        <w:t xml:space="preserve">neziskové </w:t>
      </w:r>
      <w:r w:rsidR="00105E37">
        <w:t>organizace reálná</w:t>
      </w:r>
      <w:r w:rsidR="00972553">
        <w:t xml:space="preserve">. Je to mimo jiné zřejmé i z rostoucího zájmu </w:t>
      </w:r>
      <w:r>
        <w:t>veřejnosti</w:t>
      </w:r>
      <w:r w:rsidR="00D428EC">
        <w:t xml:space="preserve"> </w:t>
      </w:r>
      <w:r w:rsidR="00972553">
        <w:t>o podporu a další rozšiřování</w:t>
      </w:r>
      <w:r>
        <w:t xml:space="preserve">. </w:t>
      </w:r>
    </w:p>
    <w:p w14:paraId="55A982AF" w14:textId="63075667" w:rsidR="00020485" w:rsidRDefault="003C22D3" w:rsidP="00020485">
      <w:r>
        <w:t xml:space="preserve">Díky </w:t>
      </w:r>
      <w:r w:rsidR="00020485">
        <w:t>získaným dlouhodobým</w:t>
      </w:r>
      <w:r>
        <w:t xml:space="preserve"> zkušenostem a spolupráci s dalšími obdobnými záměry </w:t>
      </w:r>
      <w:r w:rsidR="00D428EC">
        <w:t>je ČSO schopna</w:t>
      </w:r>
      <w:r>
        <w:t xml:space="preserve"> odhadnout náklady potřebné ke zřízení a údržbě vybraných míst i zajistit </w:t>
      </w:r>
      <w:r w:rsidR="00020485">
        <w:t xml:space="preserve">jejich dlouhodobé </w:t>
      </w:r>
      <w:r>
        <w:t xml:space="preserve">financování. </w:t>
      </w:r>
      <w:r w:rsidR="00020485">
        <w:t xml:space="preserve">Tento projekt je založen na důvěře široké veřejnosti, která významně finančně přispívá a </w:t>
      </w:r>
      <w:r w:rsidR="00020485">
        <w:lastRenderedPageBreak/>
        <w:t xml:space="preserve">je pro ČSO závazkem do budoucnosti s tím, že osvědčené přístupy lze rozšiřovat do dalších míst a oblastí. </w:t>
      </w:r>
    </w:p>
    <w:p w14:paraId="631F7724" w14:textId="3921B6D9" w:rsidR="00071043" w:rsidRDefault="00140636" w:rsidP="00BB1CBA">
      <w:pPr>
        <w:pStyle w:val="Nadpis2"/>
      </w:pPr>
      <w:r w:rsidRPr="00BB1CBA">
        <w:t>Vize</w:t>
      </w:r>
    </w:p>
    <w:p w14:paraId="4F552445" w14:textId="72AFCEAF" w:rsidR="007262F8" w:rsidRPr="00105E37" w:rsidRDefault="00452375" w:rsidP="00105E37">
      <w:pPr>
        <w:rPr>
          <w:i/>
        </w:rPr>
      </w:pPr>
      <w:r w:rsidRPr="00105E37">
        <w:rPr>
          <w:i/>
        </w:rPr>
        <w:t>Česká společnost ornitologická usiluje o svět, kde žijí lidé a ptáci v harmonii, kde lidé s pokorou obdivují přírodu, snaží se jí porozumět a využívají ji udržitelně pro sebe, pro ptáky i pro ostatní organismy.</w:t>
      </w:r>
      <w:r w:rsidR="00C137B2" w:rsidRPr="00105E37">
        <w:rPr>
          <w:i/>
        </w:rPr>
        <w:t xml:space="preserve"> </w:t>
      </w:r>
      <w:r w:rsidR="00D428EC">
        <w:rPr>
          <w:i/>
        </w:rPr>
        <w:t>(Vize ČSO)</w:t>
      </w:r>
    </w:p>
    <w:p w14:paraId="5B0CA6AE" w14:textId="0F6346F8" w:rsidR="00E41B9C" w:rsidRDefault="00B47905" w:rsidP="00105E37">
      <w:pPr>
        <w:rPr>
          <w:noProof/>
          <w:lang w:eastAsia="cs-CZ"/>
        </w:rPr>
      </w:pPr>
      <w:r>
        <w:t xml:space="preserve">ČSO přispívá k tvorbě </w:t>
      </w:r>
      <w:r w:rsidR="00BF1B55">
        <w:t>harmonické</w:t>
      </w:r>
      <w:r>
        <w:t xml:space="preserve"> krajiny s vysokou ekologickou hodnotou cílenou obnovou </w:t>
      </w:r>
      <w:r w:rsidR="00BF1B55">
        <w:t>přírodních stanovišť</w:t>
      </w:r>
      <w:r>
        <w:t xml:space="preserve">. Na vybraných místech, zvaných ptačí parky, převádí odborné znalosti do příkladů nejlepší praxe </w:t>
      </w:r>
      <w:r w:rsidR="00BF1B55">
        <w:t>hospodaření v krajině, přičemž využívá ptáky jako deštníkovou skupinu druhů, jejichž prostřednictvím chrání ostatní součásti ekosystémů. Ptačí parky buduje ČSO s lidmi a pro lidi, usiluje o šetrné zpřístupnění přírodního bohatství</w:t>
      </w:r>
      <w:r w:rsidR="00020485">
        <w:t xml:space="preserve"> a dává tak příklad pro ostatní, kteří hospodaří v naší krajině</w:t>
      </w:r>
      <w:r w:rsidR="00BF1B55">
        <w:t>.</w:t>
      </w:r>
    </w:p>
    <w:p w14:paraId="6DDAFF55" w14:textId="467A2AB0" w:rsidR="00140636" w:rsidRDefault="00BB1CBA" w:rsidP="00BB1CBA">
      <w:pPr>
        <w:pStyle w:val="Nadpis2"/>
      </w:pPr>
      <w:r>
        <w:t>Definice ptačích parků</w:t>
      </w:r>
    </w:p>
    <w:p w14:paraId="5126EEF8" w14:textId="7574A620" w:rsidR="00D47F2C" w:rsidRDefault="00B56038">
      <w:pPr>
        <w:rPr>
          <w:lang w:eastAsia="cs-CZ"/>
        </w:rPr>
      </w:pPr>
      <w:r w:rsidRPr="00105E37">
        <w:rPr>
          <w:lang w:eastAsia="cs-CZ"/>
        </w:rPr>
        <w:t>Ptačí parky jsou souvislá</w:t>
      </w:r>
      <w:r w:rsidR="0089774F" w:rsidRPr="00105E37">
        <w:rPr>
          <w:lang w:eastAsia="cs-CZ"/>
        </w:rPr>
        <w:t xml:space="preserve"> území o velikosti </w:t>
      </w:r>
      <w:r w:rsidR="002D5D8A">
        <w:rPr>
          <w:lang w:eastAsia="cs-CZ"/>
        </w:rPr>
        <w:t xml:space="preserve">alespoň desítek </w:t>
      </w:r>
      <w:r w:rsidR="0089774F" w:rsidRPr="00105E37">
        <w:rPr>
          <w:lang w:eastAsia="cs-CZ"/>
        </w:rPr>
        <w:t>hektarů</w:t>
      </w:r>
      <w:r w:rsidR="007649E4">
        <w:rPr>
          <w:lang w:eastAsia="cs-CZ"/>
        </w:rPr>
        <w:t>; místní specifické podmínky umožňují vznik i menších ptačích parků</w:t>
      </w:r>
      <w:r w:rsidRPr="00105E37">
        <w:rPr>
          <w:lang w:eastAsia="cs-CZ"/>
        </w:rPr>
        <w:t xml:space="preserve">. Vznikají </w:t>
      </w:r>
      <w:r w:rsidR="00A561A5">
        <w:rPr>
          <w:lang w:eastAsia="cs-CZ"/>
        </w:rPr>
        <w:t xml:space="preserve">především </w:t>
      </w:r>
      <w:r w:rsidRPr="00105E37">
        <w:rPr>
          <w:lang w:eastAsia="cs-CZ"/>
        </w:rPr>
        <w:t>mimo</w:t>
      </w:r>
      <w:r w:rsidR="005C487D">
        <w:rPr>
          <w:lang w:eastAsia="cs-CZ"/>
        </w:rPr>
        <w:t xml:space="preserve"> </w:t>
      </w:r>
      <w:r w:rsidR="00A561A5">
        <w:rPr>
          <w:lang w:eastAsia="cs-CZ"/>
        </w:rPr>
        <w:t xml:space="preserve">dosavadní </w:t>
      </w:r>
      <w:r w:rsidR="00020485">
        <w:rPr>
          <w:lang w:eastAsia="cs-CZ"/>
        </w:rPr>
        <w:t xml:space="preserve">státem </w:t>
      </w:r>
      <w:r w:rsidR="005C487D">
        <w:rPr>
          <w:lang w:eastAsia="cs-CZ"/>
        </w:rPr>
        <w:t xml:space="preserve">chráněná území. </w:t>
      </w:r>
      <w:r w:rsidR="00A561A5">
        <w:rPr>
          <w:lang w:eastAsia="cs-CZ"/>
        </w:rPr>
        <w:t xml:space="preserve">Dlouhodobým cílem je získání </w:t>
      </w:r>
      <w:r w:rsidR="00020485">
        <w:rPr>
          <w:lang w:eastAsia="cs-CZ"/>
        </w:rPr>
        <w:t>pozemků</w:t>
      </w:r>
      <w:r w:rsidR="00A561A5">
        <w:rPr>
          <w:lang w:eastAsia="cs-CZ"/>
        </w:rPr>
        <w:t xml:space="preserve"> do vlastnictví ČSO a vytvoření </w:t>
      </w:r>
      <w:r w:rsidR="00D47F2C">
        <w:rPr>
          <w:lang w:eastAsia="cs-CZ"/>
        </w:rPr>
        <w:t>území výjimečných biologických hodnot</w:t>
      </w:r>
      <w:r w:rsidR="00020485">
        <w:rPr>
          <w:lang w:eastAsia="cs-CZ"/>
        </w:rPr>
        <w:t>,</w:t>
      </w:r>
      <w:r w:rsidR="00D47F2C">
        <w:rPr>
          <w:lang w:eastAsia="cs-CZ"/>
        </w:rPr>
        <w:t xml:space="preserve"> při současném důrazu na umožnění bezprostředního kontaktu návštěvníků s přírodou. Ve většině ptačích par</w:t>
      </w:r>
      <w:bookmarkStart w:id="0" w:name="_GoBack"/>
      <w:bookmarkEnd w:id="0"/>
      <w:r w:rsidR="00D47F2C">
        <w:rPr>
          <w:lang w:eastAsia="cs-CZ"/>
        </w:rPr>
        <w:t xml:space="preserve">ků probíhá </w:t>
      </w:r>
      <w:r w:rsidR="007649E4">
        <w:rPr>
          <w:lang w:eastAsia="cs-CZ"/>
        </w:rPr>
        <w:t xml:space="preserve">k </w:t>
      </w:r>
      <w:r w:rsidR="00D47F2C">
        <w:rPr>
          <w:lang w:eastAsia="cs-CZ"/>
        </w:rPr>
        <w:t xml:space="preserve">přírodě šetrné nebo cílené ochranářské hospodaření, bezzásahovost </w:t>
      </w:r>
      <w:r w:rsidR="00D428EC">
        <w:rPr>
          <w:lang w:eastAsia="cs-CZ"/>
        </w:rPr>
        <w:t>je využívána</w:t>
      </w:r>
      <w:r w:rsidR="00D47F2C">
        <w:rPr>
          <w:lang w:eastAsia="cs-CZ"/>
        </w:rPr>
        <w:t xml:space="preserve"> pouze doplňkově.</w:t>
      </w:r>
    </w:p>
    <w:p w14:paraId="1716175C" w14:textId="77777777" w:rsidR="006C7AAA" w:rsidRDefault="006C7AAA">
      <w:pPr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808"/>
        <w:gridCol w:w="3132"/>
      </w:tblGrid>
      <w:tr w:rsidR="004513E6" w14:paraId="279A9D3A" w14:textId="77777777" w:rsidTr="001B1D33">
        <w:trPr>
          <w:trHeight w:val="2249"/>
        </w:trPr>
        <w:tc>
          <w:tcPr>
            <w:tcW w:w="1090" w:type="dxa"/>
          </w:tcPr>
          <w:p w14:paraId="2AFCE76C" w14:textId="65BEDF08" w:rsidR="004513E6" w:rsidRDefault="004513E6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67F2506" wp14:editId="4FAE2ECD">
                  <wp:extent cx="1873800" cy="1249200"/>
                  <wp:effectExtent l="0" t="0" r="0" b="825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20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00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</w:tcPr>
          <w:p w14:paraId="4346EA2F" w14:textId="2996C315" w:rsidR="004513E6" w:rsidRDefault="004513E6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7C6D160" wp14:editId="689FA61B">
                  <wp:extent cx="1665600" cy="1249200"/>
                  <wp:effectExtent l="0" t="0" r="0" b="825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tačník_JL_Břeněk Michálek (4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0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dxa"/>
          </w:tcPr>
          <w:p w14:paraId="1292DFA6" w14:textId="02662A82" w:rsidR="004513E6" w:rsidRDefault="004513E6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4795F05" wp14:editId="6F115703">
                  <wp:extent cx="1873629" cy="1249200"/>
                  <wp:effectExtent l="0" t="0" r="0" b="825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osteliska_krávy_Ondřej Ryška (4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29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654C9" w14:textId="1C2FEBC5" w:rsidR="00140636" w:rsidRDefault="00C14C72" w:rsidP="00BB1CBA">
      <w:pPr>
        <w:pStyle w:val="Nadpis2"/>
      </w:pPr>
      <w:r>
        <w:t>Cíl</w:t>
      </w:r>
    </w:p>
    <w:p w14:paraId="615AA80D" w14:textId="21D768D7" w:rsidR="00C14C72" w:rsidRDefault="00C14C72">
      <w:pPr>
        <w:rPr>
          <w:lang w:eastAsia="cs-CZ"/>
        </w:rPr>
      </w:pPr>
      <w:r>
        <w:rPr>
          <w:lang w:eastAsia="cs-CZ"/>
        </w:rPr>
        <w:t xml:space="preserve">Cílem ČSO do roku 2042 je provozovat </w:t>
      </w:r>
      <w:r w:rsidRPr="00105E37">
        <w:rPr>
          <w:lang w:eastAsia="cs-CZ"/>
        </w:rPr>
        <w:t xml:space="preserve">alespoň jeden plně funkční ptačí park v každém kraji České republiky. </w:t>
      </w:r>
    </w:p>
    <w:p w14:paraId="2170162B" w14:textId="717EFF49" w:rsidR="00027E54" w:rsidRDefault="00027E54" w:rsidP="00027E54">
      <w:pPr>
        <w:pStyle w:val="Nadpis2"/>
      </w:pPr>
      <w:r>
        <w:t>Předpoklady</w:t>
      </w:r>
      <w:r w:rsidR="00382E29">
        <w:t xml:space="preserve"> a</w:t>
      </w:r>
      <w:r>
        <w:t xml:space="preserve"> </w:t>
      </w:r>
      <w:r w:rsidR="003832DD">
        <w:t>zásady</w:t>
      </w:r>
    </w:p>
    <w:p w14:paraId="06AA54DE" w14:textId="77777777" w:rsidR="00382E29" w:rsidRDefault="00382E29" w:rsidP="00382E29">
      <w:pPr>
        <w:pStyle w:val="Nadpis3"/>
      </w:pPr>
      <w:r>
        <w:t>Společenská situace</w:t>
      </w:r>
    </w:p>
    <w:p w14:paraId="4F867934" w14:textId="43B941B7" w:rsidR="00382E29" w:rsidRDefault="00382E29" w:rsidP="00382E29">
      <w:r>
        <w:t>Předpokladem úspěchu této strategie je aktivní zájem a účast veřejnosti</w:t>
      </w:r>
      <w:r w:rsidR="00020485">
        <w:t>,</w:t>
      </w:r>
      <w:r>
        <w:t xml:space="preserve"> stejně jako stabilita základních </w:t>
      </w:r>
      <w:r w:rsidR="00020485">
        <w:t xml:space="preserve">demokratických </w:t>
      </w:r>
      <w:r>
        <w:t xml:space="preserve">právních </w:t>
      </w:r>
      <w:r w:rsidR="00020485">
        <w:t>principů</w:t>
      </w:r>
      <w:r>
        <w:t xml:space="preserve"> (nedotknutelnost vlastnictví ap.). S těmito předpoklady </w:t>
      </w:r>
      <w:r>
        <w:lastRenderedPageBreak/>
        <w:t>lze počítat pouze v celkově přiměřeně prosperující, stabilní, otevřené, demokraticky spravované společnosti.</w:t>
      </w:r>
    </w:p>
    <w:p w14:paraId="0F6C8335" w14:textId="284F8757" w:rsidR="002F13CF" w:rsidRDefault="002F13CF" w:rsidP="00105E37">
      <w:pPr>
        <w:pStyle w:val="Nadpis3"/>
      </w:pPr>
      <w:r>
        <w:t>Majetkoprávní uspořádání</w:t>
      </w:r>
    </w:p>
    <w:p w14:paraId="0D1BF691" w14:textId="243A9C2B" w:rsidR="00E60483" w:rsidRDefault="00E60483" w:rsidP="00E60483">
      <w:r>
        <w:t xml:space="preserve">Základním nástrojem ochrany území ptačích parků je vlastnické právo. Cílové pozemky získává do vlastnictví Česká společnost ornitologická, případně některá její pobočka. </w:t>
      </w:r>
    </w:p>
    <w:p w14:paraId="385D5231" w14:textId="7531EAD7" w:rsidR="003641BA" w:rsidRDefault="00D61BAA" w:rsidP="00E60483">
      <w:r>
        <w:t xml:space="preserve">Zřizování ptačích parků na pozemcích vlastněných jinými subjekty je možné pouze za předpokladu, že vlastnický subjekt zajistí trvalost využití území pro </w:t>
      </w:r>
      <w:r w:rsidR="007649E4">
        <w:t>účely ptačího parku</w:t>
      </w:r>
      <w:r>
        <w:t xml:space="preserve"> na srovnatelné nebo vyšší úrovni, než vlastnické právo ČSO.</w:t>
      </w:r>
    </w:p>
    <w:p w14:paraId="1C63AFB5" w14:textId="77777777" w:rsidR="00EC49FF" w:rsidRDefault="00EC49FF" w:rsidP="00D428EC">
      <w:pPr>
        <w:pStyle w:val="Nadpis3"/>
      </w:pPr>
      <w:r>
        <w:t>Výběr lokalit</w:t>
      </w:r>
    </w:p>
    <w:p w14:paraId="02D765A9" w14:textId="458AD01B" w:rsidR="00EC49FF" w:rsidRDefault="00EC49FF" w:rsidP="00E60483">
      <w:r>
        <w:t>Lokality pro nové ptačí parky jsou vybírány na základě odborných podkladů podle potenciálu pro obnovní management</w:t>
      </w:r>
      <w:r w:rsidR="00020485">
        <w:t xml:space="preserve"> biotopů </w:t>
      </w:r>
      <w:r>
        <w:t xml:space="preserve">pro </w:t>
      </w:r>
      <w:r w:rsidR="00020485">
        <w:t>různé</w:t>
      </w:r>
      <w:r>
        <w:t xml:space="preserve"> druhy ptáků a potenciálu využití území veřejností. Doplňkovými kritérii js</w:t>
      </w:r>
      <w:r w:rsidR="00357CEF">
        <w:t xml:space="preserve">ou dostupnost klíčových pozemků, </w:t>
      </w:r>
      <w:r>
        <w:t>dostupnost kvalitních pracovníků v</w:t>
      </w:r>
      <w:r w:rsidR="00357CEF">
        <w:t> </w:t>
      </w:r>
      <w:r>
        <w:t>místě</w:t>
      </w:r>
      <w:r w:rsidR="00357CEF">
        <w:t xml:space="preserve"> a širší souvislosti zajišťující dlouhodobou funkčnost ptačího parku.</w:t>
      </w:r>
    </w:p>
    <w:p w14:paraId="795E71AC" w14:textId="77777777" w:rsidR="006C7AAA" w:rsidRDefault="006C7AAA" w:rsidP="00E6048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066"/>
        <w:gridCol w:w="3066"/>
      </w:tblGrid>
      <w:tr w:rsidR="00030FFE" w14:paraId="75D406BF" w14:textId="77777777" w:rsidTr="001B1D33">
        <w:tc>
          <w:tcPr>
            <w:tcW w:w="3020" w:type="dxa"/>
          </w:tcPr>
          <w:p w14:paraId="66EE9B6A" w14:textId="147049B9" w:rsidR="00030FFE" w:rsidRDefault="00D3537F" w:rsidP="00E60483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7789A90" wp14:editId="78CE6FCF">
                  <wp:extent cx="1786467" cy="1248910"/>
                  <wp:effectExtent l="0" t="0" r="4445" b="889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Josefovské louky_Ludmila Korešová (2)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65"/>
                          <a:stretch/>
                        </pic:blipFill>
                        <pic:spPr bwMode="auto">
                          <a:xfrm>
                            <a:off x="0" y="0"/>
                            <a:ext cx="1786882" cy="124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ACD0CC5" w14:textId="38D42D5E" w:rsidR="00030FFE" w:rsidRDefault="00030FFE" w:rsidP="00E60483">
            <w:r>
              <w:rPr>
                <w:noProof/>
                <w:lang w:eastAsia="cs-CZ"/>
              </w:rPr>
              <w:drawing>
                <wp:inline distT="0" distB="0" distL="0" distR="0" wp14:anchorId="3EDD5307" wp14:editId="1563A0EF">
                  <wp:extent cx="1873801" cy="1249200"/>
                  <wp:effectExtent l="0" t="0" r="0" b="825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mnisske_louky_celky (16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01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76FC48C" w14:textId="4E3C1F94" w:rsidR="00030FFE" w:rsidRDefault="00030FFE" w:rsidP="00E60483">
            <w:r>
              <w:rPr>
                <w:noProof/>
                <w:lang w:eastAsia="cs-CZ"/>
              </w:rPr>
              <w:drawing>
                <wp:inline distT="0" distB="0" distL="0" distR="0" wp14:anchorId="7394420F" wp14:editId="46AF3FDC">
                  <wp:extent cx="1873801" cy="1249200"/>
                  <wp:effectExtent l="0" t="0" r="0" b="825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alá Lipová_Ludmila Korešová (2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01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31C40" w14:textId="77777777" w:rsidR="00030FFE" w:rsidRDefault="00030FFE" w:rsidP="00E60483"/>
    <w:p w14:paraId="513728E8" w14:textId="4342FD8D" w:rsidR="00382E29" w:rsidRDefault="003641BA" w:rsidP="00105E37">
      <w:pPr>
        <w:pStyle w:val="Nadpis3"/>
      </w:pPr>
      <w:r>
        <w:t>Správa</w:t>
      </w:r>
    </w:p>
    <w:p w14:paraId="14903C15" w14:textId="63115AD8" w:rsidR="00382E29" w:rsidRDefault="00382E29" w:rsidP="00382E29">
      <w:r>
        <w:t xml:space="preserve">Správa parků je řízena vedením ČSO, případně ve spolupráci s pobočkami. Každý park má svého </w:t>
      </w:r>
      <w:r w:rsidR="00020485">
        <w:t>odborného</w:t>
      </w:r>
      <w:r>
        <w:t xml:space="preserve"> správce, případně další dobrovolné nebo profesionální pracovníky. Průměrně vyžaduje každých 50 ha </w:t>
      </w:r>
      <w:r w:rsidR="00357CEF">
        <w:t xml:space="preserve">spravované </w:t>
      </w:r>
      <w:r>
        <w:t xml:space="preserve">plochy </w:t>
      </w:r>
      <w:r w:rsidR="00020485">
        <w:t xml:space="preserve">nejméně </w:t>
      </w:r>
      <w:r>
        <w:t>jeden pracovní úvazek</w:t>
      </w:r>
      <w:r w:rsidR="00571727">
        <w:t xml:space="preserve"> (placený či dobrovolný)</w:t>
      </w:r>
      <w:r>
        <w:t xml:space="preserve">. Poradním orgánem správců jsou pracovní skupiny složené </w:t>
      </w:r>
      <w:r w:rsidR="00972553">
        <w:t xml:space="preserve">především </w:t>
      </w:r>
      <w:r>
        <w:t xml:space="preserve">z dobrovolníků. </w:t>
      </w:r>
    </w:p>
    <w:p w14:paraId="57870570" w14:textId="58166650" w:rsidR="00382E29" w:rsidRDefault="00382E29" w:rsidP="00382E29">
      <w:r>
        <w:t xml:space="preserve">Praktická správa parků vychází z odborně zpracovaných </w:t>
      </w:r>
      <w:r w:rsidR="00571727">
        <w:t xml:space="preserve">a veřejně dostupných </w:t>
      </w:r>
      <w:r>
        <w:t>plánů managementu.</w:t>
      </w:r>
      <w:r w:rsidR="00571727">
        <w:t xml:space="preserve"> První plán pro lokalitu se zpracovává na období 2 až 5 let, následné plány dle okolností na 5 až 10 let. </w:t>
      </w:r>
      <w:r w:rsidR="003641BA">
        <w:t xml:space="preserve">Klíčovým prvkem každého plánu je definice několika </w:t>
      </w:r>
      <w:r w:rsidR="000C06C7">
        <w:t xml:space="preserve">prioritních cílových druhů </w:t>
      </w:r>
      <w:r w:rsidR="00EC49FF">
        <w:t>a definice základních ukazatelů úspěšnosti. Plán dále zahrnuje popis současného a cílového stavu, prioritizaci plánovaných obnovních zásahů, popis pravidelné údržby, popis monitoringu</w:t>
      </w:r>
      <w:r w:rsidR="00020485">
        <w:t>,</w:t>
      </w:r>
      <w:r w:rsidR="00EC49FF">
        <w:t xml:space="preserve"> způsobů hodnocení úspěšnosti a zásady zpřístupňování území veřejnosti. </w:t>
      </w:r>
      <w:r w:rsidR="00571727">
        <w:t xml:space="preserve">Realizace činností prochází pravidelným hodnocením, </w:t>
      </w:r>
      <w:r w:rsidR="00020485">
        <w:t xml:space="preserve">a </w:t>
      </w:r>
      <w:r w:rsidR="00571727">
        <w:t>v případě potřeby jsou plány upraveny.</w:t>
      </w:r>
      <w:r w:rsidR="003641BA">
        <w:t xml:space="preserve"> </w:t>
      </w:r>
    </w:p>
    <w:p w14:paraId="225F4FEA" w14:textId="0A071408" w:rsidR="002F13CF" w:rsidRDefault="00C96E45" w:rsidP="00105E37">
      <w:pPr>
        <w:pStyle w:val="Nadpis3"/>
      </w:pPr>
      <w:r>
        <w:t>Využití</w:t>
      </w:r>
    </w:p>
    <w:p w14:paraId="488CEED6" w14:textId="373BD9D5" w:rsidR="003641BA" w:rsidRDefault="00020485" w:rsidP="002F13CF">
      <w:r>
        <w:t>Základním</w:t>
      </w:r>
      <w:r w:rsidR="003641BA">
        <w:t xml:space="preserve"> účelem existence ptačích parků je realizace obnovního managementu, tedy cílené zvýšení biologické hodnoty území a její následné dlouhodobé </w:t>
      </w:r>
      <w:r>
        <w:t>rozvíjení</w:t>
      </w:r>
      <w:r w:rsidR="003641BA">
        <w:t xml:space="preserve">. Bezprostředně navazujícím způsobem využití je zpřístupnění přírodních hodnot lidem. Za tímto účelem je v parcích budována návštěvnická infrastruktura a parky slouží nejrůznějším aktivitám environmentální výchovy, na jejichž pořádání </w:t>
      </w:r>
      <w:r w:rsidR="003641BA">
        <w:lastRenderedPageBreak/>
        <w:t xml:space="preserve">spolupracuje ČSO s dalšími subjekty. Tam, kde je to smysluplné, jsou pro výchovné a vzdělávací aktivity stanoveny standardy minimální kvality. </w:t>
      </w:r>
    </w:p>
    <w:p w14:paraId="0E208E15" w14:textId="77777777" w:rsidR="006C7AAA" w:rsidRDefault="006C7AAA" w:rsidP="002F13C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2953"/>
        <w:gridCol w:w="3166"/>
      </w:tblGrid>
      <w:tr w:rsidR="004513E6" w14:paraId="48632E04" w14:textId="77777777" w:rsidTr="001B1D33">
        <w:tc>
          <w:tcPr>
            <w:tcW w:w="3020" w:type="dxa"/>
          </w:tcPr>
          <w:p w14:paraId="69C825FF" w14:textId="4CC58C3B" w:rsidR="004513E6" w:rsidRDefault="004513E6" w:rsidP="002F13CF">
            <w:r>
              <w:rPr>
                <w:noProof/>
                <w:lang w:eastAsia="cs-CZ"/>
              </w:rPr>
              <w:drawing>
                <wp:inline distT="0" distB="0" distL="0" distR="0" wp14:anchorId="51A19451" wp14:editId="23528CC3">
                  <wp:extent cx="1665599" cy="1249200"/>
                  <wp:effectExtent l="0" t="0" r="0" b="825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oto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599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E669050" w14:textId="772A9EDE" w:rsidR="004513E6" w:rsidRDefault="00B5080F" w:rsidP="002F13CF">
            <w:r>
              <w:rPr>
                <w:noProof/>
                <w:lang w:eastAsia="cs-CZ"/>
              </w:rPr>
              <w:drawing>
                <wp:inline distT="0" distB="0" distL="0" distR="0" wp14:anchorId="391D993E" wp14:editId="0E7180DB">
                  <wp:extent cx="1665600" cy="1249200"/>
                  <wp:effectExtent l="0" t="0" r="0" b="825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kosteliska_festival ptactva 2021(3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0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FBB1D62" w14:textId="3B21FE61" w:rsidR="004513E6" w:rsidRDefault="00B5080F" w:rsidP="002F13CF">
            <w:r>
              <w:rPr>
                <w:noProof/>
                <w:lang w:eastAsia="cs-CZ"/>
              </w:rPr>
              <w:drawing>
                <wp:inline distT="0" distB="0" distL="0" distR="0" wp14:anchorId="222891C7" wp14:editId="3A4C9DC6">
                  <wp:extent cx="1873801" cy="1249200"/>
                  <wp:effectExtent l="0" t="0" r="0" b="825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3109256-Edi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01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E7092" w14:textId="77777777" w:rsidR="004513E6" w:rsidRDefault="004513E6" w:rsidP="002F13CF"/>
    <w:p w14:paraId="7CF56FF5" w14:textId="29F75916" w:rsidR="00D61BAA" w:rsidRDefault="00EC49FF" w:rsidP="00105E37">
      <w:pPr>
        <w:pStyle w:val="Nadpis3"/>
      </w:pPr>
      <w:r>
        <w:t>Spolupráce</w:t>
      </w:r>
    </w:p>
    <w:p w14:paraId="7BE19CFF" w14:textId="5019E018" w:rsidR="00D61BAA" w:rsidRDefault="00EC49FF" w:rsidP="002F13CF">
      <w:r>
        <w:t xml:space="preserve">Nedílnou součástí vize ptačích parků je zapojení co nejširšího okruhu </w:t>
      </w:r>
      <w:r w:rsidR="000C06C7">
        <w:t xml:space="preserve">jednotlivých </w:t>
      </w:r>
      <w:r>
        <w:t xml:space="preserve">lidí </w:t>
      </w:r>
      <w:r w:rsidR="000C06C7">
        <w:t xml:space="preserve">i dalších partnerů </w:t>
      </w:r>
      <w:r>
        <w:t xml:space="preserve">do jejich budování a údržby. </w:t>
      </w:r>
      <w:r w:rsidR="000C06C7">
        <w:t xml:space="preserve">ČSO je ve všech fázích otevřena jak návrhům a připomínkám zvenčí, tak nejrůznějším formám spolupráce, od nárazové </w:t>
      </w:r>
      <w:r w:rsidR="00020485">
        <w:t>dobrovolnické</w:t>
      </w:r>
      <w:r w:rsidR="000C06C7">
        <w:t xml:space="preserve"> práce po pravidelnou spolupráci nebo až sdílení odpovědnosti (např. kompletní zajištění péče o park místním spolkem nebo environmentální výchovy místním domem dětí). </w:t>
      </w:r>
    </w:p>
    <w:p w14:paraId="17BF1456" w14:textId="0F357F8C" w:rsidR="002F13CF" w:rsidRDefault="000C06C7" w:rsidP="00E60483">
      <w:r>
        <w:t xml:space="preserve">Neopominutelnými partnery při budování parků jsou </w:t>
      </w:r>
      <w:r w:rsidR="00E5095F">
        <w:t xml:space="preserve">pobočky ČSO, </w:t>
      </w:r>
      <w:r>
        <w:t>aktivní jednotlivci, spolky, samospráva, subjekty provozující zemědělské, lesnické, rybářské nebo myslivecké hospodařen</w:t>
      </w:r>
      <w:r w:rsidR="00357CEF">
        <w:t>í,</w:t>
      </w:r>
      <w:r>
        <w:t xml:space="preserve"> vzdělávací instituce</w:t>
      </w:r>
      <w:r w:rsidR="00357CEF">
        <w:t>, media a novináři</w:t>
      </w:r>
      <w:r>
        <w:t>.</w:t>
      </w:r>
      <w:r w:rsidR="00E5095F">
        <w:t xml:space="preserve"> Nezbytná je i úzká spolupráce se státní správou.</w:t>
      </w:r>
    </w:p>
    <w:p w14:paraId="39C6BCE5" w14:textId="58F0F04E" w:rsidR="00AF360B" w:rsidRDefault="00AF360B" w:rsidP="00AF360B">
      <w:pPr>
        <w:pStyle w:val="Nadpis2"/>
      </w:pPr>
      <w:r>
        <w:t>Zásady financování</w:t>
      </w:r>
    </w:p>
    <w:p w14:paraId="055D618B" w14:textId="387FDB96" w:rsidR="001874DE" w:rsidRDefault="008530E1" w:rsidP="00105E37">
      <w:r>
        <w:t>Vznik</w:t>
      </w:r>
      <w:r w:rsidR="00E60483">
        <w:t xml:space="preserve"> a dlouhodobá správa ptačích parků </w:t>
      </w:r>
      <w:proofErr w:type="gramStart"/>
      <w:r w:rsidR="00E60483">
        <w:t>zahrnuje</w:t>
      </w:r>
      <w:proofErr w:type="gramEnd"/>
      <w:r w:rsidR="00E60483">
        <w:t xml:space="preserve"> čtyři základní typy nákladů. U každého z nich předpokládáme odlišné složení finančních zdrojů.</w:t>
      </w:r>
      <w:r w:rsidR="001874DE">
        <w:t xml:space="preserve"> </w:t>
      </w:r>
    </w:p>
    <w:p w14:paraId="134277F8" w14:textId="759F5913" w:rsidR="001874DE" w:rsidRDefault="001874DE" w:rsidP="00105E37">
      <w:r>
        <w:t>Klíčovým prvkem financování, bez něhož není realizace záměru myslitelná, jsou účelové dary soukromých fyzických i právnických osob. Takovéto dary jsou mimo jiné i vyjádřením společenského zájmu o obnovu přírody nezávislou na stát</w:t>
      </w:r>
      <w:r w:rsidR="008530E1">
        <w:t>em zřízených institucích</w:t>
      </w:r>
      <w:r>
        <w:t>.</w:t>
      </w:r>
    </w:p>
    <w:p w14:paraId="4BB2D426" w14:textId="77777777" w:rsidR="002F13CF" w:rsidRDefault="002F13CF" w:rsidP="002F13CF">
      <w:pPr>
        <w:pStyle w:val="Nadpis3"/>
      </w:pPr>
      <w:r>
        <w:t>Náklady na nákup pozemků</w:t>
      </w:r>
    </w:p>
    <w:p w14:paraId="26819650" w14:textId="3B8EB41C" w:rsidR="002F13CF" w:rsidRDefault="008530E1" w:rsidP="002F13CF">
      <w:r>
        <w:t>Z</w:t>
      </w:r>
      <w:r w:rsidR="002F13CF">
        <w:t xml:space="preserve">ákladním zdrojem financování nákupu pozemků jsou soukromé dary. Tento způsob financování předpokládáme zachovat i do budoucna. </w:t>
      </w:r>
    </w:p>
    <w:p w14:paraId="5470531A" w14:textId="446055A5" w:rsidR="002F13CF" w:rsidRDefault="002F13CF" w:rsidP="002F13CF">
      <w:r>
        <w:t>Projektové financování (dotace,</w:t>
      </w:r>
      <w:r w:rsidRPr="002454BE">
        <w:t xml:space="preserve"> </w:t>
      </w:r>
      <w:r>
        <w:t xml:space="preserve">granty) bude k nákupu pozemků využíváno doplňkově, zejména v souvislosti s realizací </w:t>
      </w:r>
      <w:r w:rsidR="00D428EC">
        <w:t xml:space="preserve">konkrétních </w:t>
      </w:r>
      <w:r>
        <w:t>obnovních projektů.</w:t>
      </w:r>
    </w:p>
    <w:p w14:paraId="7430F6B1" w14:textId="77777777" w:rsidR="002F13CF" w:rsidRDefault="002F13CF" w:rsidP="002F13CF">
      <w:pPr>
        <w:pStyle w:val="Nadpis3"/>
      </w:pPr>
      <w:r>
        <w:t>Náklady na jednorázové obnovní akce</w:t>
      </w:r>
    </w:p>
    <w:p w14:paraId="1574D3DF" w14:textId="3AD0B3B2" w:rsidR="002F13CF" w:rsidRDefault="002F13CF" w:rsidP="002F13CF">
      <w:r>
        <w:t xml:space="preserve">V počátečních fázích budování ptačích parků jsou nezbytné větší investiční zásahy, které povedou k obnově hodnotných společenstev. Financování </w:t>
      </w:r>
      <w:r w:rsidR="008530E1">
        <w:t xml:space="preserve">těchto </w:t>
      </w:r>
      <w:r>
        <w:t xml:space="preserve">obnovních zásahů předpokládáme zejména prostřednictvím národních i evropských dotačních titulů, případně grantů soukromých nadací. </w:t>
      </w:r>
    </w:p>
    <w:p w14:paraId="3DF0D752" w14:textId="24A0D7A9" w:rsidR="002F13CF" w:rsidRDefault="002F13CF" w:rsidP="002F13CF">
      <w:r>
        <w:lastRenderedPageBreak/>
        <w:t xml:space="preserve">Ze soukromých darů budeme zajišťovat kofinancování obnovních projektů. K plné realizaci těchto projektů budou prostředky z darů využívány jen výjimečně v případě, že projektový zdroj financování nebude </w:t>
      </w:r>
      <w:r w:rsidR="00D428EC">
        <w:t xml:space="preserve">dlouhodobě </w:t>
      </w:r>
      <w:r>
        <w:t>dostupný.</w:t>
      </w:r>
    </w:p>
    <w:p w14:paraId="5B813F4D" w14:textId="77777777" w:rsidR="002F13CF" w:rsidRDefault="002F13CF" w:rsidP="002F13CF">
      <w:pPr>
        <w:pStyle w:val="Nadpis3"/>
      </w:pPr>
      <w:r>
        <w:t>Náklady na pravidelnou údržbu</w:t>
      </w:r>
    </w:p>
    <w:p w14:paraId="08665700" w14:textId="521A9EF7" w:rsidR="002F13CF" w:rsidRDefault="00652CD7" w:rsidP="002F13CF">
      <w:r>
        <w:t>H</w:t>
      </w:r>
      <w:r w:rsidR="002F13CF">
        <w:t xml:space="preserve">lavním zdrojem prostředků na pravidelnou údržbu </w:t>
      </w:r>
      <w:r>
        <w:t xml:space="preserve">ptačích parků jsou </w:t>
      </w:r>
      <w:r w:rsidR="002F13CF">
        <w:t>soukromé dary.</w:t>
      </w:r>
      <w:r>
        <w:t xml:space="preserve"> Do budoucna budeme hledat dlouhodobější zdroje financování, i v souvislosti s realizací evropské politiky obnovy přírody a zvyšujícího se zájmu soukromých subjektů.</w:t>
      </w:r>
      <w:r w:rsidR="002F13CF">
        <w:t xml:space="preserve"> Státní </w:t>
      </w:r>
      <w:r w:rsidR="008530E1">
        <w:t xml:space="preserve">nebo evropské </w:t>
      </w:r>
      <w:r w:rsidR="002F13CF">
        <w:t>dotace budeme na údržbu využívat, pokud budou k dispozici.</w:t>
      </w:r>
    </w:p>
    <w:p w14:paraId="59244F4C" w14:textId="77777777" w:rsidR="002F13CF" w:rsidRDefault="002F13CF" w:rsidP="002F13CF">
      <w:pPr>
        <w:pStyle w:val="Nadpis3"/>
      </w:pPr>
      <w:r>
        <w:t>Náklady na zpřístupnění a služby pro návštěvníky</w:t>
      </w:r>
    </w:p>
    <w:p w14:paraId="61030E91" w14:textId="6F9F3350" w:rsidR="002F13CF" w:rsidRDefault="002F13CF" w:rsidP="002F13CF">
      <w:r>
        <w:t xml:space="preserve">Budování návštěvnické infrastruktury má podobné </w:t>
      </w:r>
      <w:r w:rsidR="008530E1">
        <w:t>zdroje</w:t>
      </w:r>
      <w:r>
        <w:t xml:space="preserve"> financování jako iniciační obnovní zásahy. </w:t>
      </w:r>
      <w:r w:rsidR="008530E1">
        <w:t xml:space="preserve">Základním </w:t>
      </w:r>
      <w:r>
        <w:t>zdrojem jsou dotační a grantové pr</w:t>
      </w:r>
      <w:r w:rsidR="008530E1">
        <w:t>ostředky, doplňkovým jsou dary</w:t>
      </w:r>
      <w:r>
        <w:t>. Určitá část služeb veřejnosti (profesionální průvodcovská služba, výukové programy</w:t>
      </w:r>
      <w:r w:rsidR="008530E1">
        <w:t xml:space="preserve"> apod.</w:t>
      </w:r>
      <w:r>
        <w:t xml:space="preserve">) </w:t>
      </w:r>
      <w:r w:rsidR="00087FEE">
        <w:t>může být</w:t>
      </w:r>
      <w:r>
        <w:t xml:space="preserve"> zpoplatněna. Vzhledem k převažující</w:t>
      </w:r>
      <w:r w:rsidR="008530E1">
        <w:t xml:space="preserve"> společenské</w:t>
      </w:r>
      <w:r>
        <w:t xml:space="preserve"> </w:t>
      </w:r>
      <w:r w:rsidR="008530E1">
        <w:t>zvyklosti</w:t>
      </w:r>
      <w:r>
        <w:t xml:space="preserve"> ve střední Evropě </w:t>
      </w:r>
      <w:r w:rsidR="00087FEE">
        <w:t xml:space="preserve">ovšem </w:t>
      </w:r>
      <w:r>
        <w:t>nepředpokládáme, že by zisk z poskytovaných služeb mohl pokrýt náklady se zpřístupňováním spojené.</w:t>
      </w:r>
    </w:p>
    <w:p w14:paraId="635C057C" w14:textId="06571FD7" w:rsidR="00357CEF" w:rsidRPr="00357CEF" w:rsidRDefault="002F13CF" w:rsidP="00357CEF">
      <w:pPr>
        <w:pStyle w:val="Nadpis3"/>
        <w:rPr>
          <w:sz w:val="18"/>
          <w:szCs w:val="18"/>
        </w:rPr>
      </w:pPr>
      <w:r>
        <w:t>Zásady financování – přehled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1878"/>
        <w:gridCol w:w="1877"/>
        <w:gridCol w:w="1877"/>
      </w:tblGrid>
      <w:tr w:rsidR="00D3537F" w:rsidRPr="008377D1" w14:paraId="73406441" w14:textId="77777777" w:rsidTr="00D3537F">
        <w:trPr>
          <w:trHeight w:val="881"/>
        </w:trPr>
        <w:tc>
          <w:tcPr>
            <w:tcW w:w="3005" w:type="dxa"/>
            <w:shd w:val="clear" w:color="auto" w:fill="auto"/>
            <w:vAlign w:val="center"/>
            <w:hideMark/>
          </w:tcPr>
          <w:p w14:paraId="1AC8E5DA" w14:textId="77777777" w:rsidR="00D3537F" w:rsidRPr="00105E37" w:rsidRDefault="00D3537F" w:rsidP="008377D1">
            <w:pPr>
              <w:spacing w:before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05E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28268A34" w14:textId="0FB60EAF" w:rsidR="00D3537F" w:rsidRPr="00105E37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05E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soukromé dary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990B498" w14:textId="77777777" w:rsidR="00D3537F" w:rsidRPr="00105E37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05E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dotace, granty</w:t>
            </w:r>
          </w:p>
        </w:tc>
        <w:tc>
          <w:tcPr>
            <w:tcW w:w="1877" w:type="dxa"/>
            <w:vAlign w:val="center"/>
            <w:hideMark/>
          </w:tcPr>
          <w:p w14:paraId="492D8B28" w14:textId="20F3492C" w:rsidR="00D3537F" w:rsidRPr="00105E37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05E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prodej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br/>
            </w:r>
            <w:r w:rsidRPr="00105E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služeb</w:t>
            </w:r>
          </w:p>
        </w:tc>
      </w:tr>
      <w:tr w:rsidR="00D3537F" w:rsidRPr="008377D1" w14:paraId="68335DC2" w14:textId="77777777" w:rsidTr="00D3537F">
        <w:trPr>
          <w:trHeight w:val="457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085312F1" w14:textId="77777777" w:rsidR="00D3537F" w:rsidRPr="008377D1" w:rsidRDefault="00D3537F" w:rsidP="008377D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7D1">
              <w:rPr>
                <w:rFonts w:ascii="Calibri" w:eastAsia="Times New Roman" w:hAnsi="Calibri" w:cs="Calibri"/>
                <w:color w:val="000000"/>
                <w:lang w:eastAsia="cs-CZ"/>
              </w:rPr>
              <w:t>nákup pozemků</w:t>
            </w:r>
          </w:p>
        </w:tc>
        <w:tc>
          <w:tcPr>
            <w:tcW w:w="1878" w:type="dxa"/>
            <w:shd w:val="clear" w:color="000000" w:fill="548235"/>
            <w:noWrap/>
            <w:vAlign w:val="center"/>
            <w:hideMark/>
          </w:tcPr>
          <w:p w14:paraId="760A6ECE" w14:textId="706E3278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000000" w:fill="A9D08E"/>
            <w:noWrap/>
            <w:vAlign w:val="center"/>
            <w:hideMark/>
          </w:tcPr>
          <w:p w14:paraId="0949CB14" w14:textId="218713D0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7CFBF001" w14:textId="77777777" w:rsidR="00D3537F" w:rsidRPr="008377D1" w:rsidRDefault="00D3537F" w:rsidP="00105E37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37F" w:rsidRPr="008377D1" w14:paraId="04AF9E25" w14:textId="77777777" w:rsidTr="00D3537F">
        <w:trPr>
          <w:trHeight w:val="432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5A0BE03" w14:textId="77777777" w:rsidR="00D3537F" w:rsidRPr="008377D1" w:rsidRDefault="00D3537F" w:rsidP="008377D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7D1">
              <w:rPr>
                <w:rFonts w:ascii="Calibri" w:eastAsia="Times New Roman" w:hAnsi="Calibri" w:cs="Calibri"/>
                <w:color w:val="000000"/>
                <w:lang w:eastAsia="cs-CZ"/>
              </w:rPr>
              <w:t>investice do obnovy</w:t>
            </w:r>
          </w:p>
        </w:tc>
        <w:tc>
          <w:tcPr>
            <w:tcW w:w="1878" w:type="dxa"/>
            <w:shd w:val="clear" w:color="000000" w:fill="A9D08E"/>
            <w:noWrap/>
            <w:vAlign w:val="center"/>
            <w:hideMark/>
          </w:tcPr>
          <w:p w14:paraId="52A62718" w14:textId="7BAE10FE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000000" w:fill="548235"/>
            <w:noWrap/>
            <w:vAlign w:val="center"/>
            <w:hideMark/>
          </w:tcPr>
          <w:p w14:paraId="4B36B1CA" w14:textId="39FBB377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CFD83A1" w14:textId="77777777" w:rsidR="00D3537F" w:rsidRPr="008377D1" w:rsidRDefault="00D3537F" w:rsidP="00105E37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37F" w:rsidRPr="008377D1" w14:paraId="707878BF" w14:textId="77777777" w:rsidTr="00D3537F">
        <w:trPr>
          <w:trHeight w:val="457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D2E4649" w14:textId="5CD6C792" w:rsidR="00D3537F" w:rsidRPr="008377D1" w:rsidRDefault="00D3537F" w:rsidP="009504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7D1">
              <w:rPr>
                <w:rFonts w:ascii="Calibri" w:eastAsia="Times New Roman" w:hAnsi="Calibri" w:cs="Calibri"/>
                <w:color w:val="000000"/>
                <w:lang w:eastAsia="cs-CZ"/>
              </w:rPr>
              <w:t>pravidelná údržba</w:t>
            </w:r>
          </w:p>
        </w:tc>
        <w:tc>
          <w:tcPr>
            <w:tcW w:w="1878" w:type="dxa"/>
            <w:shd w:val="clear" w:color="000000" w:fill="548235"/>
            <w:noWrap/>
            <w:vAlign w:val="center"/>
            <w:hideMark/>
          </w:tcPr>
          <w:p w14:paraId="27064029" w14:textId="77777777" w:rsidR="00D3537F" w:rsidRPr="008377D1" w:rsidRDefault="00D3537F" w:rsidP="0095047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000000" w:fill="A9D08E"/>
            <w:noWrap/>
            <w:vAlign w:val="center"/>
            <w:hideMark/>
          </w:tcPr>
          <w:p w14:paraId="35D83BD0" w14:textId="77777777" w:rsidR="00D3537F" w:rsidRPr="008377D1" w:rsidRDefault="00D3537F" w:rsidP="0095047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437B6903" w14:textId="77777777" w:rsidR="00D3537F" w:rsidRPr="008377D1" w:rsidRDefault="00D3537F" w:rsidP="0095047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37F" w:rsidRPr="008377D1" w14:paraId="486CCEB8" w14:textId="77777777" w:rsidTr="00D3537F">
        <w:trPr>
          <w:trHeight w:val="430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BA88726" w14:textId="77777777" w:rsidR="00D3537F" w:rsidRPr="008377D1" w:rsidRDefault="00D3537F" w:rsidP="008377D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7D1">
              <w:rPr>
                <w:rFonts w:ascii="Calibri" w:eastAsia="Times New Roman" w:hAnsi="Calibri" w:cs="Calibri"/>
                <w:color w:val="000000"/>
                <w:lang w:eastAsia="cs-CZ"/>
              </w:rPr>
              <w:t>zpřístupnění</w:t>
            </w:r>
          </w:p>
        </w:tc>
        <w:tc>
          <w:tcPr>
            <w:tcW w:w="1878" w:type="dxa"/>
            <w:shd w:val="clear" w:color="000000" w:fill="A9D08E"/>
            <w:noWrap/>
            <w:vAlign w:val="center"/>
            <w:hideMark/>
          </w:tcPr>
          <w:p w14:paraId="7B5589C1" w14:textId="331F8EB0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000000" w:fill="548235"/>
            <w:noWrap/>
            <w:vAlign w:val="center"/>
            <w:hideMark/>
          </w:tcPr>
          <w:p w14:paraId="1B929FDC" w14:textId="3BF1F395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shd w:val="clear" w:color="000000" w:fill="A9D08E"/>
            <w:noWrap/>
            <w:vAlign w:val="center"/>
            <w:hideMark/>
          </w:tcPr>
          <w:p w14:paraId="4B48F1B0" w14:textId="2F8D0E2E" w:rsidR="00D3537F" w:rsidRPr="008377D1" w:rsidRDefault="00D3537F" w:rsidP="00105E3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FD7FBE0" w14:textId="3C99EEF4" w:rsidR="00357CEF" w:rsidRPr="00357CEF" w:rsidRDefault="00357CEF" w:rsidP="00357CEF">
      <w:pPr>
        <w:rPr>
          <w:sz w:val="18"/>
          <w:szCs w:val="18"/>
        </w:rPr>
      </w:pPr>
      <w:r>
        <w:rPr>
          <w:sz w:val="18"/>
          <w:szCs w:val="18"/>
        </w:rPr>
        <w:t>tmavě zelená = hlavní zdroj, světle zelená = vedlejší zdroj</w:t>
      </w:r>
    </w:p>
    <w:p w14:paraId="027CE08E" w14:textId="576D1BFF" w:rsidR="004B7FEF" w:rsidRDefault="00027E54" w:rsidP="00027E54">
      <w:pPr>
        <w:pStyle w:val="Nadpis2"/>
      </w:pPr>
      <w:r>
        <w:t>F</w:t>
      </w:r>
      <w:r w:rsidR="00982CA7">
        <w:t>inanční rozvah</w:t>
      </w:r>
      <w:r>
        <w:t>a</w:t>
      </w:r>
    </w:p>
    <w:p w14:paraId="46D9E812" w14:textId="77777777" w:rsidR="004B7FEF" w:rsidRDefault="004B7FEF" w:rsidP="00105E37">
      <w:r>
        <w:t>Finanční rozvaha je zpracována s využitím následujících parametrů:</w:t>
      </w:r>
    </w:p>
    <w:p w14:paraId="0A091B0A" w14:textId="3A908826" w:rsidR="004B7FEF" w:rsidRDefault="004B7FEF" w:rsidP="00105E37">
      <w:pPr>
        <w:pStyle w:val="Odstavecseseznamem"/>
        <w:numPr>
          <w:ilvl w:val="0"/>
          <w:numId w:val="7"/>
        </w:numPr>
      </w:pPr>
      <w:r>
        <w:t xml:space="preserve">cenová </w:t>
      </w:r>
      <w:r w:rsidR="008530E1">
        <w:t>úroveň</w:t>
      </w:r>
      <w:r>
        <w:t xml:space="preserve"> roku 2022</w:t>
      </w:r>
      <w:r w:rsidR="008530E1">
        <w:t xml:space="preserve"> (</w:t>
      </w:r>
      <w:r>
        <w:t>není uvažováno s</w:t>
      </w:r>
      <w:r w:rsidR="008530E1">
        <w:t> </w:t>
      </w:r>
      <w:r>
        <w:t>inflací</w:t>
      </w:r>
      <w:r w:rsidR="008530E1">
        <w:t>)</w:t>
      </w:r>
      <w:r>
        <w:t>,</w:t>
      </w:r>
    </w:p>
    <w:p w14:paraId="16AC0D21" w14:textId="615C2F36" w:rsidR="004B7FEF" w:rsidRDefault="004B7FEF" w:rsidP="00105E37">
      <w:pPr>
        <w:pStyle w:val="Odstavecseseznamem"/>
        <w:numPr>
          <w:ilvl w:val="0"/>
          <w:numId w:val="7"/>
        </w:numPr>
      </w:pPr>
      <w:r>
        <w:t xml:space="preserve">výkup pozemků je </w:t>
      </w:r>
      <w:proofErr w:type="spellStart"/>
      <w:r>
        <w:t>realizo</w:t>
      </w:r>
      <w:r w:rsidR="00D3537F">
        <w:t>s</w:t>
      </w:r>
      <w:r>
        <w:t>ván</w:t>
      </w:r>
      <w:proofErr w:type="spellEnd"/>
      <w:r>
        <w:t xml:space="preserve"> za </w:t>
      </w:r>
      <w:r w:rsidR="008530E1">
        <w:t xml:space="preserve">průměrnou </w:t>
      </w:r>
      <w:r>
        <w:t xml:space="preserve">cenu </w:t>
      </w:r>
      <w:r w:rsidR="00087FEE">
        <w:t>30</w:t>
      </w:r>
      <w:r>
        <w:t xml:space="preserve"> Kč/m</w:t>
      </w:r>
      <w:r w:rsidRPr="00105E37">
        <w:rPr>
          <w:vertAlign w:val="superscript"/>
        </w:rPr>
        <w:t>2</w:t>
      </w:r>
      <w:r>
        <w:rPr>
          <w:vertAlign w:val="superscript"/>
        </w:rPr>
        <w:t>,</w:t>
      </w:r>
    </w:p>
    <w:p w14:paraId="47DD8945" w14:textId="2CBA5917" w:rsidR="004B7FEF" w:rsidRDefault="004B7FEF" w:rsidP="00105E37">
      <w:pPr>
        <w:pStyle w:val="Odstavecseseznamem"/>
        <w:numPr>
          <w:ilvl w:val="0"/>
          <w:numId w:val="7"/>
        </w:numPr>
      </w:pPr>
      <w:r>
        <w:t xml:space="preserve">na 50 ha plochy </w:t>
      </w:r>
      <w:r w:rsidR="008530E1">
        <w:t xml:space="preserve">uvažováno s </w:t>
      </w:r>
      <w:r>
        <w:t>1 plný</w:t>
      </w:r>
      <w:r w:rsidR="008530E1">
        <w:t>m</w:t>
      </w:r>
      <w:r>
        <w:t xml:space="preserve"> </w:t>
      </w:r>
      <w:r w:rsidR="008530E1">
        <w:t>úvazkem</w:t>
      </w:r>
      <w:r>
        <w:t xml:space="preserve"> (hrub</w:t>
      </w:r>
      <w:r w:rsidR="008530E1">
        <w:t>á</w:t>
      </w:r>
      <w:r>
        <w:t xml:space="preserve"> mzd</w:t>
      </w:r>
      <w:r w:rsidR="008530E1">
        <w:t xml:space="preserve">a cca </w:t>
      </w:r>
      <w:r>
        <w:t>35 000 Kč),</w:t>
      </w:r>
    </w:p>
    <w:p w14:paraId="660D4357" w14:textId="020424AF" w:rsidR="004B7FEF" w:rsidRDefault="004B7FEF" w:rsidP="00105E37">
      <w:pPr>
        <w:pStyle w:val="Odstavecseseznamem"/>
        <w:numPr>
          <w:ilvl w:val="0"/>
          <w:numId w:val="7"/>
        </w:numPr>
      </w:pPr>
      <w:r>
        <w:t>náklady na základní údržbu jsou kalkulovány ve stejné výši jako osobní náklady,</w:t>
      </w:r>
    </w:p>
    <w:p w14:paraId="218CD0BB" w14:textId="355EA00C" w:rsidR="00140636" w:rsidRDefault="004B7FEF" w:rsidP="00105E37">
      <w:pPr>
        <w:pStyle w:val="Odstavecseseznamem"/>
        <w:numPr>
          <w:ilvl w:val="0"/>
          <w:numId w:val="7"/>
        </w:numPr>
      </w:pPr>
      <w:r>
        <w:t>investiční náklady (obnovní projekty) nejsou v rozvaze kalkulovány, neboť jejich výši nelze stanovit bez znalosti konkrétního území</w:t>
      </w:r>
      <w:r w:rsidR="00A42FD9">
        <w:t xml:space="preserve"> a jejich realizace bude závislá na účelových grantech</w:t>
      </w:r>
      <w:r>
        <w:t>.</w:t>
      </w:r>
    </w:p>
    <w:p w14:paraId="5B2E58F3" w14:textId="36E54281" w:rsidR="004B7FEF" w:rsidRDefault="004B7FEF" w:rsidP="00105E37">
      <w:r>
        <w:t xml:space="preserve">Základní náklady na realizaci strategie dosahují za celou dobu 20 let výše </w:t>
      </w:r>
      <w:r w:rsidR="008530E1">
        <w:t xml:space="preserve">cca </w:t>
      </w:r>
      <w:r w:rsidR="00087FEE">
        <w:rPr>
          <w:b/>
        </w:rPr>
        <w:t>390</w:t>
      </w:r>
      <w:r w:rsidRPr="00105E37">
        <w:rPr>
          <w:b/>
        </w:rPr>
        <w:t xml:space="preserve"> </w:t>
      </w:r>
      <w:r w:rsidR="008530E1">
        <w:rPr>
          <w:b/>
        </w:rPr>
        <w:t>milionů</w:t>
      </w:r>
      <w:r w:rsidRPr="00105E37">
        <w:rPr>
          <w:b/>
        </w:rPr>
        <w:t xml:space="preserve"> Kč</w:t>
      </w:r>
      <w:r>
        <w:t>. Tato částka bude navýšena o náklady obnovních projektů.</w:t>
      </w:r>
    </w:p>
    <w:p w14:paraId="347EC59E" w14:textId="7C4D3E87" w:rsidR="00A42FD9" w:rsidRDefault="004B7FEF" w:rsidP="00105E37">
      <w:r>
        <w:t xml:space="preserve">Předpokládáme </w:t>
      </w:r>
      <w:r w:rsidR="00A42FD9">
        <w:t xml:space="preserve">postupný růst </w:t>
      </w:r>
      <w:r w:rsidR="00357CEF">
        <w:t>zdrojů i výdajů</w:t>
      </w:r>
      <w:r w:rsidR="00A42FD9">
        <w:t>, a tedy i množství vykoupených pozemků, v jednotlivých letech. Odhadované rozložení nákladů je uvedeno v grafu.</w:t>
      </w:r>
    </w:p>
    <w:p w14:paraId="656BA490" w14:textId="0B444CCB" w:rsidR="00A42FD9" w:rsidRDefault="00652CD7">
      <w:r>
        <w:rPr>
          <w:noProof/>
          <w:lang w:eastAsia="cs-CZ"/>
        </w:rPr>
        <w:lastRenderedPageBreak/>
        <w:drawing>
          <wp:inline distT="0" distB="0" distL="0" distR="0" wp14:anchorId="5642AF9B" wp14:editId="5C578493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5E1006" w14:textId="41634468" w:rsidR="00A42FD9" w:rsidRDefault="007649E4" w:rsidP="007649E4">
      <w:pPr>
        <w:pStyle w:val="Nadpis2"/>
      </w:pPr>
      <w:r>
        <w:t>Rizika</w:t>
      </w:r>
    </w:p>
    <w:p w14:paraId="258F25D5" w14:textId="6EE228B2" w:rsidR="007649E4" w:rsidRDefault="007649E4">
      <w:r>
        <w:t>Realizace strategie je závislá na splnění celé řady vnějších podmínek. Mezi nejvýznamnější rizika, která mohou mít na její uskutečňování dopad, patří především chybějící dlouhodobě zaručené financování, možný nedostatek prostředků v době hospodářského útlumu, velká závislost na několika zkušených osobách, nedostupnost pozemků k výkupu, případně odpor místních lidí ke změnám v jejich okolí. V průběhu uskutečňování strategie budou rizika pravidelně hodnocena a podle aktuální situace budou voleny nejvhodnější postupy k omezení jejich negativního dopadu.</w:t>
      </w:r>
    </w:p>
    <w:p w14:paraId="162EF6A4" w14:textId="77777777" w:rsidR="007649E4" w:rsidRDefault="007649E4"/>
    <w:p w14:paraId="79C368F7" w14:textId="3967D7D0" w:rsidR="00F940DD" w:rsidRDefault="00A42FD9">
      <w:r>
        <w:t xml:space="preserve">Tato strategie byla schválena výborem ČSO </w:t>
      </w:r>
      <w:r w:rsidRPr="00526C56">
        <w:t xml:space="preserve">dne </w:t>
      </w:r>
      <w:r w:rsidR="00526C56" w:rsidRPr="00526C56">
        <w:t>9</w:t>
      </w:r>
      <w:r w:rsidRPr="00526C56">
        <w:t xml:space="preserve">. </w:t>
      </w:r>
      <w:r w:rsidR="00747B81" w:rsidRPr="00526C56">
        <w:t>července</w:t>
      </w:r>
      <w:r w:rsidRPr="00526C56">
        <w:t xml:space="preserve"> 2022.</w:t>
      </w:r>
    </w:p>
    <w:sectPr w:rsidR="00F940DD" w:rsidSect="004D550D">
      <w:footerReference w:type="default" r:id="rId2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15EF" w14:textId="77777777" w:rsidR="00F37F0A" w:rsidRDefault="00F37F0A" w:rsidP="007101CE">
      <w:pPr>
        <w:spacing w:before="0" w:line="240" w:lineRule="auto"/>
      </w:pPr>
      <w:r>
        <w:separator/>
      </w:r>
    </w:p>
  </w:endnote>
  <w:endnote w:type="continuationSeparator" w:id="0">
    <w:p w14:paraId="6D45AFD8" w14:textId="77777777" w:rsidR="00F37F0A" w:rsidRDefault="00F37F0A" w:rsidP="007101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C764" w14:textId="571D1623" w:rsidR="007101CE" w:rsidRPr="007101CE" w:rsidRDefault="009E4F6F" w:rsidP="007101CE">
    <w:pPr>
      <w:spacing w:before="0" w:after="360"/>
      <w:ind w:left="851" w:right="-578"/>
      <w:rPr>
        <w:rFonts w:ascii="Calibri" w:hAnsi="Calibri"/>
        <w:sz w:val="20"/>
        <w:szCs w:val="20"/>
      </w:rPr>
    </w:pPr>
    <w:r w:rsidRPr="009E4F6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F663B3" wp14:editId="6B8A962F">
              <wp:simplePos x="0" y="0"/>
              <wp:positionH relativeFrom="column">
                <wp:posOffset>-687070</wp:posOffset>
              </wp:positionH>
              <wp:positionV relativeFrom="paragraph">
                <wp:posOffset>244475</wp:posOffset>
              </wp:positionV>
              <wp:extent cx="6984000" cy="0"/>
              <wp:effectExtent l="0" t="0" r="26670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400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8E23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4.1pt;margin-top:19.25pt;width:549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" strokeweight=".15pt"/>
          </w:pict>
        </mc:Fallback>
      </mc:AlternateContent>
    </w:r>
    <w:r w:rsidR="007101CE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D517463" wp14:editId="09E3BA44">
          <wp:simplePos x="0" y="0"/>
          <wp:positionH relativeFrom="column">
            <wp:posOffset>-686647</wp:posOffset>
          </wp:positionH>
          <wp:positionV relativeFrom="paragraph">
            <wp:posOffset>455306</wp:posOffset>
          </wp:positionV>
          <wp:extent cx="584820" cy="609600"/>
          <wp:effectExtent l="0" t="0" r="635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SO_logo_50%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1CE" w:rsidRPr="00B974C1">
      <w:rPr>
        <w:rFonts w:ascii="Calibri" w:hAnsi="Calibri"/>
        <w:sz w:val="20"/>
        <w:szCs w:val="20"/>
      </w:rPr>
      <w:t xml:space="preserve"> </w:t>
    </w:r>
  </w:p>
  <w:p w14:paraId="125B8B4B" w14:textId="4A7E4312" w:rsidR="007101CE" w:rsidRDefault="009E4F6F" w:rsidP="007101CE">
    <w:pPr>
      <w:ind w:right="-720"/>
      <w:rPr>
        <w:rFonts w:ascii="Arial" w:hAnsi="Arial" w:cs="Arial"/>
        <w:lang w:val="en-US"/>
      </w:rPr>
    </w:pPr>
    <w:r>
      <w:rPr>
        <w:rFonts w:eastAsia="Times New Roman" w:cstheme="minorHAnsi"/>
        <w:b/>
        <w:noProof/>
        <w:szCs w:val="20"/>
        <w:lang w:eastAsia="cs-CZ"/>
      </w:rPr>
      <w:drawing>
        <wp:anchor distT="0" distB="0" distL="114300" distR="114300" simplePos="0" relativeHeight="251664384" behindDoc="1" locked="0" layoutInCell="1" allowOverlap="1" wp14:anchorId="61A0B0A2" wp14:editId="2CCA981F">
          <wp:simplePos x="0" y="0"/>
          <wp:positionH relativeFrom="column">
            <wp:posOffset>5636260</wp:posOffset>
          </wp:positionH>
          <wp:positionV relativeFrom="paragraph">
            <wp:posOffset>11218</wp:posOffset>
          </wp:positionV>
          <wp:extent cx="642620" cy="660400"/>
          <wp:effectExtent l="0" t="0" r="5080" b="6350"/>
          <wp:wrapTight wrapText="bothSides">
            <wp:wrapPolygon edited="0">
              <wp:start x="0" y="0"/>
              <wp:lineTo x="0" y="21185"/>
              <wp:lineTo x="21130" y="21185"/>
              <wp:lineTo x="2113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rdLife_Part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5D7A1D" w14:textId="06CA5A42" w:rsidR="00EB6D4F" w:rsidRPr="00EB6D4F" w:rsidRDefault="009E4F6F" w:rsidP="009E4F6F">
    <w:pPr>
      <w:spacing w:before="0" w:after="360"/>
      <w:ind w:left="397" w:right="-578"/>
      <w:rPr>
        <w:rFonts w:ascii="Calibri" w:hAnsi="Calibri"/>
        <w:i/>
        <w:sz w:val="20"/>
      </w:rPr>
    </w:pPr>
    <w:r w:rsidRPr="000B7550">
      <w:rPr>
        <w:rFonts w:ascii="Calibri" w:hAnsi="Calibri"/>
        <w:sz w:val="20"/>
      </w:rPr>
      <w:t xml:space="preserve">Česká společnost ornitologická (ČSO) je spolkem sdružujícím profesionály i amatéry zabývající se ochranou a výzkumem ptáků, pozorovatele ptactva a milovníky přírody. </w:t>
    </w:r>
    <w:r w:rsidR="007101CE" w:rsidRPr="000B7550">
      <w:rPr>
        <w:rFonts w:ascii="Calibri" w:hAnsi="Calibri"/>
        <w:sz w:val="20"/>
      </w:rPr>
      <w:t xml:space="preserve"> </w:t>
    </w:r>
    <w:r w:rsidRPr="000B7550">
      <w:rPr>
        <w:rFonts w:ascii="Calibri" w:hAnsi="Calibri"/>
        <w:sz w:val="20"/>
      </w:rPr>
      <w:t xml:space="preserve">ČSO </w:t>
    </w:r>
    <w:r w:rsidR="007101CE" w:rsidRPr="000B7550">
      <w:rPr>
        <w:rFonts w:ascii="Calibri" w:hAnsi="Calibri"/>
        <w:sz w:val="20"/>
      </w:rPr>
      <w:t>je partnerem celosvětového sdružení na ochranu ptáků BirdLife International.</w:t>
    </w:r>
    <w:r w:rsidR="00EB6D4F">
      <w:rPr>
        <w:rFonts w:ascii="Calibri" w:hAnsi="Calibri"/>
        <w:sz w:val="20"/>
      </w:rPr>
      <w:t xml:space="preserve"> Více na </w:t>
    </w:r>
    <w:hyperlink r:id="rId3" w:history="1">
      <w:r w:rsidR="00EB6D4F" w:rsidRPr="00EB6D4F">
        <w:rPr>
          <w:rStyle w:val="Hypertextovodkaz"/>
          <w:rFonts w:ascii="Calibri" w:hAnsi="Calibri"/>
          <w:i/>
          <w:sz w:val="20"/>
        </w:rPr>
        <w:t>birdlife.cz</w:t>
      </w:r>
    </w:hyperlink>
    <w:r w:rsidR="00EB6D4F">
      <w:rPr>
        <w:rFonts w:ascii="Calibri" w:hAnsi="Calibri"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4FB8" w14:textId="77777777" w:rsidR="00F37F0A" w:rsidRDefault="00F37F0A" w:rsidP="007101CE">
      <w:pPr>
        <w:spacing w:before="0" w:line="240" w:lineRule="auto"/>
      </w:pPr>
      <w:r>
        <w:separator/>
      </w:r>
    </w:p>
  </w:footnote>
  <w:footnote w:type="continuationSeparator" w:id="0">
    <w:p w14:paraId="131194E7" w14:textId="77777777" w:rsidR="00F37F0A" w:rsidRDefault="00F37F0A" w:rsidP="007101C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C"/>
    <w:multiLevelType w:val="hybridMultilevel"/>
    <w:tmpl w:val="4A4A7D66"/>
    <w:lvl w:ilvl="0" w:tplc="59C2E9B2">
      <w:start w:val="1"/>
      <w:numFmt w:val="decimal"/>
      <w:pStyle w:val="Nadpis3a"/>
      <w:lvlText w:val="%1."/>
      <w:lvlJc w:val="left"/>
      <w:pPr>
        <w:ind w:left="720" w:hanging="360"/>
      </w:pPr>
      <w:rPr>
        <w:rFonts w:hint="default"/>
      </w:rPr>
    </w:lvl>
    <w:lvl w:ilvl="1" w:tplc="67882F2E">
      <w:numFmt w:val="bullet"/>
      <w:lvlText w:val="-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FF5"/>
    <w:multiLevelType w:val="hybridMultilevel"/>
    <w:tmpl w:val="CDBAD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6B5"/>
    <w:multiLevelType w:val="hybridMultilevel"/>
    <w:tmpl w:val="5DE2FF7A"/>
    <w:lvl w:ilvl="0" w:tplc="449C67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126C"/>
    <w:multiLevelType w:val="hybridMultilevel"/>
    <w:tmpl w:val="DB141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3602"/>
    <w:multiLevelType w:val="hybridMultilevel"/>
    <w:tmpl w:val="917239BE"/>
    <w:lvl w:ilvl="0" w:tplc="DBC49F3E">
      <w:start w:val="6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4239"/>
    <w:multiLevelType w:val="hybridMultilevel"/>
    <w:tmpl w:val="34143F1E"/>
    <w:lvl w:ilvl="0" w:tplc="BD365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7035"/>
    <w:multiLevelType w:val="hybridMultilevel"/>
    <w:tmpl w:val="01CE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36"/>
    <w:rsid w:val="00020485"/>
    <w:rsid w:val="00027E54"/>
    <w:rsid w:val="00030FFE"/>
    <w:rsid w:val="00071043"/>
    <w:rsid w:val="00087FEE"/>
    <w:rsid w:val="000B7550"/>
    <w:rsid w:val="000C06C7"/>
    <w:rsid w:val="000D3D25"/>
    <w:rsid w:val="00105E37"/>
    <w:rsid w:val="00140636"/>
    <w:rsid w:val="001874DE"/>
    <w:rsid w:val="001A0A53"/>
    <w:rsid w:val="001B1D33"/>
    <w:rsid w:val="0024294F"/>
    <w:rsid w:val="002454BE"/>
    <w:rsid w:val="0026315E"/>
    <w:rsid w:val="0027567E"/>
    <w:rsid w:val="002D5D8A"/>
    <w:rsid w:val="002F13CF"/>
    <w:rsid w:val="00307829"/>
    <w:rsid w:val="00357CEF"/>
    <w:rsid w:val="003641BA"/>
    <w:rsid w:val="003672B4"/>
    <w:rsid w:val="00382E29"/>
    <w:rsid w:val="003832DD"/>
    <w:rsid w:val="003C22D3"/>
    <w:rsid w:val="003E77A3"/>
    <w:rsid w:val="004156E3"/>
    <w:rsid w:val="0043354E"/>
    <w:rsid w:val="004513E6"/>
    <w:rsid w:val="00452375"/>
    <w:rsid w:val="0045555C"/>
    <w:rsid w:val="004A58D1"/>
    <w:rsid w:val="004B7FEF"/>
    <w:rsid w:val="004D550D"/>
    <w:rsid w:val="00503464"/>
    <w:rsid w:val="0050399B"/>
    <w:rsid w:val="005104BB"/>
    <w:rsid w:val="00512CD8"/>
    <w:rsid w:val="00526C56"/>
    <w:rsid w:val="0056085E"/>
    <w:rsid w:val="00571727"/>
    <w:rsid w:val="00597B57"/>
    <w:rsid w:val="005C487D"/>
    <w:rsid w:val="005F3164"/>
    <w:rsid w:val="00652CD7"/>
    <w:rsid w:val="0066185B"/>
    <w:rsid w:val="00695475"/>
    <w:rsid w:val="006C7AAA"/>
    <w:rsid w:val="006F5FFB"/>
    <w:rsid w:val="007101CE"/>
    <w:rsid w:val="007262F8"/>
    <w:rsid w:val="00747B81"/>
    <w:rsid w:val="0075743E"/>
    <w:rsid w:val="00764046"/>
    <w:rsid w:val="007649E4"/>
    <w:rsid w:val="007843B4"/>
    <w:rsid w:val="007B4C89"/>
    <w:rsid w:val="00820168"/>
    <w:rsid w:val="008377D1"/>
    <w:rsid w:val="008530E1"/>
    <w:rsid w:val="0089774F"/>
    <w:rsid w:val="008A1FE2"/>
    <w:rsid w:val="008D0586"/>
    <w:rsid w:val="00905BB8"/>
    <w:rsid w:val="009110F9"/>
    <w:rsid w:val="009517A3"/>
    <w:rsid w:val="00972553"/>
    <w:rsid w:val="00982CA7"/>
    <w:rsid w:val="00990A82"/>
    <w:rsid w:val="009E4F6F"/>
    <w:rsid w:val="00A205FA"/>
    <w:rsid w:val="00A346E3"/>
    <w:rsid w:val="00A42FD9"/>
    <w:rsid w:val="00A47023"/>
    <w:rsid w:val="00A561A5"/>
    <w:rsid w:val="00A96A07"/>
    <w:rsid w:val="00AC0822"/>
    <w:rsid w:val="00AE54C5"/>
    <w:rsid w:val="00AF360B"/>
    <w:rsid w:val="00B3290A"/>
    <w:rsid w:val="00B47905"/>
    <w:rsid w:val="00B5080F"/>
    <w:rsid w:val="00B56038"/>
    <w:rsid w:val="00BA2FD5"/>
    <w:rsid w:val="00BB1CBA"/>
    <w:rsid w:val="00BC7BB8"/>
    <w:rsid w:val="00BF1B55"/>
    <w:rsid w:val="00C137B2"/>
    <w:rsid w:val="00C14C72"/>
    <w:rsid w:val="00C45CB4"/>
    <w:rsid w:val="00C96E45"/>
    <w:rsid w:val="00D3537F"/>
    <w:rsid w:val="00D428EC"/>
    <w:rsid w:val="00D47F2C"/>
    <w:rsid w:val="00D61BAA"/>
    <w:rsid w:val="00D978C9"/>
    <w:rsid w:val="00DF15D9"/>
    <w:rsid w:val="00E23F97"/>
    <w:rsid w:val="00E41B9C"/>
    <w:rsid w:val="00E5095F"/>
    <w:rsid w:val="00E60086"/>
    <w:rsid w:val="00E60483"/>
    <w:rsid w:val="00EB6D4F"/>
    <w:rsid w:val="00EC49FF"/>
    <w:rsid w:val="00F13A24"/>
    <w:rsid w:val="00F37F0A"/>
    <w:rsid w:val="00F940DD"/>
    <w:rsid w:val="00FC1675"/>
    <w:rsid w:val="00FD5562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26F6"/>
  <w15:chartTrackingRefBased/>
  <w15:docId w15:val="{D4279E36-5DF3-4AA7-844C-03A4A59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483"/>
    <w:pPr>
      <w:spacing w:before="120"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BB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CBA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095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63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1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1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509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Hypertextovodkaz">
    <w:name w:val="Hyperlink"/>
    <w:basedOn w:val="Standardnpsmoodstavce"/>
    <w:uiPriority w:val="99"/>
    <w:unhideWhenUsed/>
    <w:rsid w:val="00BB1CB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3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9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9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99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89774F"/>
    <w:pPr>
      <w:suppressAutoHyphens/>
      <w:autoSpaceDN w:val="0"/>
      <w:spacing w:after="120" w:line="288" w:lineRule="auto"/>
      <w:textAlignment w:val="baseline"/>
    </w:pPr>
    <w:rPr>
      <w:rFonts w:ascii="Verdana" w:eastAsia="Times New Roman" w:hAnsi="Verdana" w:cs="Times New Roman"/>
      <w:kern w:val="3"/>
      <w:sz w:val="18"/>
      <w:szCs w:val="24"/>
      <w:lang w:eastAsia="cs-CZ"/>
    </w:rPr>
  </w:style>
  <w:style w:type="paragraph" w:customStyle="1" w:styleId="Nadpis3a">
    <w:name w:val="Nadpis 3a"/>
    <w:basedOn w:val="Nadpis3"/>
    <w:link w:val="Nadpis3aChar"/>
    <w:qFormat/>
    <w:rsid w:val="0089774F"/>
    <w:pPr>
      <w:keepLines w:val="0"/>
      <w:numPr>
        <w:numId w:val="4"/>
      </w:numPr>
      <w:suppressAutoHyphens/>
      <w:autoSpaceDN w:val="0"/>
      <w:spacing w:before="480" w:line="288" w:lineRule="auto"/>
      <w:ind w:left="284" w:hanging="284"/>
      <w:textAlignment w:val="baseline"/>
    </w:pPr>
    <w:rPr>
      <w:rFonts w:ascii="Verdana" w:eastAsia="Times New Roman" w:hAnsi="Verdana" w:cs="Arial"/>
      <w:b/>
      <w:color w:val="auto"/>
      <w:kern w:val="3"/>
      <w:sz w:val="18"/>
      <w:szCs w:val="26"/>
      <w:lang w:eastAsia="cs-CZ"/>
    </w:rPr>
  </w:style>
  <w:style w:type="character" w:customStyle="1" w:styleId="Nadpis3aChar">
    <w:name w:val="Nadpis 3a Char"/>
    <w:basedOn w:val="Standardnpsmoodstavce"/>
    <w:link w:val="Nadpis3a"/>
    <w:rsid w:val="0089774F"/>
    <w:rPr>
      <w:rFonts w:ascii="Verdana" w:eastAsia="Times New Roman" w:hAnsi="Verdana" w:cs="Arial"/>
      <w:b/>
      <w:kern w:val="3"/>
      <w:sz w:val="18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5603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1C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1CE"/>
  </w:style>
  <w:style w:type="paragraph" w:styleId="Zpat">
    <w:name w:val="footer"/>
    <w:basedOn w:val="Normln"/>
    <w:link w:val="ZpatChar"/>
    <w:uiPriority w:val="99"/>
    <w:unhideWhenUsed/>
    <w:rsid w:val="007101C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1CE"/>
  </w:style>
  <w:style w:type="paragraph" w:styleId="Titulek">
    <w:name w:val="caption"/>
    <w:basedOn w:val="Normln"/>
    <w:next w:val="Normln"/>
    <w:uiPriority w:val="35"/>
    <w:unhideWhenUsed/>
    <w:qFormat/>
    <w:rsid w:val="00E41B9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E4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rdlife.cz/" TargetMode="External"/><Relationship Id="rId2" Type="http://schemas.openxmlformats.org/officeDocument/2006/relationships/image" Target="media/image14.png"/><Relationship Id="rId1" Type="http://schemas.openxmlformats.org/officeDocument/2006/relationships/image" Target="media/image13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m\Documents\%23CSO\%23Rezervace\strategie\financni_rozvah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nákupy pozemků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růst!$F$10:$Y$10</c:f>
              <c:numCache>
                <c:formatCode>General</c:formatCode>
                <c:ptCount val="20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</c:numCache>
            </c:numRef>
          </c:cat>
          <c:val>
            <c:numRef>
              <c:f>růst!$F$27:$Y$27</c:f>
              <c:numCache>
                <c:formatCode>General</c:formatCode>
                <c:ptCount val="20"/>
                <c:pt idx="0">
                  <c:v>4.5</c:v>
                </c:pt>
                <c:pt idx="1">
                  <c:v>4.5</c:v>
                </c:pt>
                <c:pt idx="2">
                  <c:v>6</c:v>
                </c:pt>
                <c:pt idx="3">
                  <c:v>6</c:v>
                </c:pt>
                <c:pt idx="4">
                  <c:v>7.5</c:v>
                </c:pt>
                <c:pt idx="5">
                  <c:v>7.5</c:v>
                </c:pt>
                <c:pt idx="6">
                  <c:v>9</c:v>
                </c:pt>
                <c:pt idx="7">
                  <c:v>9</c:v>
                </c:pt>
                <c:pt idx="8">
                  <c:v>10.5</c:v>
                </c:pt>
                <c:pt idx="9">
                  <c:v>10.5</c:v>
                </c:pt>
                <c:pt idx="10">
                  <c:v>10.5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13.5</c:v>
                </c:pt>
                <c:pt idx="15">
                  <c:v>13.5</c:v>
                </c:pt>
                <c:pt idx="16">
                  <c:v>13.5</c:v>
                </c:pt>
                <c:pt idx="17">
                  <c:v>15</c:v>
                </c:pt>
                <c:pt idx="18">
                  <c:v>15</c:v>
                </c:pt>
                <c:pt idx="19">
                  <c:v>15.839999999999998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3-4B8E-8A1F-AB1C7C4118D4}"/>
            </c:ext>
          </c:extLst>
        </c:ser>
        <c:ser>
          <c:idx val="1"/>
          <c:order val="1"/>
          <c:tx>
            <c:v>mzdové náklady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růst!$F$10:$Y$10</c:f>
              <c:numCache>
                <c:formatCode>General</c:formatCode>
                <c:ptCount val="20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</c:numCache>
            </c:numRef>
          </c:cat>
          <c:val>
            <c:numRef>
              <c:f>růst!$F$30:$Y$30</c:f>
              <c:numCache>
                <c:formatCode>General</c:formatCode>
                <c:ptCount val="20"/>
                <c:pt idx="0">
                  <c:v>1.1503631999999999</c:v>
                </c:pt>
                <c:pt idx="1">
                  <c:v>1.3192031999999998</c:v>
                </c:pt>
                <c:pt idx="2">
                  <c:v>1.5443231999999998</c:v>
                </c:pt>
                <c:pt idx="3">
                  <c:v>1.7694431999999998</c:v>
                </c:pt>
                <c:pt idx="4">
                  <c:v>2.0508431999999996</c:v>
                </c:pt>
                <c:pt idx="5">
                  <c:v>2.3322431999999997</c:v>
                </c:pt>
                <c:pt idx="6">
                  <c:v>2.6699231999999995</c:v>
                </c:pt>
                <c:pt idx="7">
                  <c:v>3.0076031999999997</c:v>
                </c:pt>
                <c:pt idx="8">
                  <c:v>3.4015631999999996</c:v>
                </c:pt>
                <c:pt idx="9">
                  <c:v>3.7955231999999994</c:v>
                </c:pt>
                <c:pt idx="10">
                  <c:v>4.1894831999999997</c:v>
                </c:pt>
                <c:pt idx="11">
                  <c:v>4.6397231999999997</c:v>
                </c:pt>
                <c:pt idx="12">
                  <c:v>5.0899631999999997</c:v>
                </c:pt>
                <c:pt idx="13">
                  <c:v>5.5402031999999997</c:v>
                </c:pt>
                <c:pt idx="14">
                  <c:v>6.0467232000000006</c:v>
                </c:pt>
                <c:pt idx="15">
                  <c:v>6.5532431999999998</c:v>
                </c:pt>
                <c:pt idx="16">
                  <c:v>7.0597631999999999</c:v>
                </c:pt>
                <c:pt idx="17">
                  <c:v>7.6225632000000001</c:v>
                </c:pt>
                <c:pt idx="18">
                  <c:v>8.1853631999999994</c:v>
                </c:pt>
                <c:pt idx="19">
                  <c:v>8.779679999999999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73-4B8E-8A1F-AB1C7C4118D4}"/>
            </c:ext>
          </c:extLst>
        </c:ser>
        <c:ser>
          <c:idx val="2"/>
          <c:order val="2"/>
          <c:tx>
            <c:v>základní údržba</c:v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růst!$F$10:$Y$10</c:f>
              <c:numCache>
                <c:formatCode>General</c:formatCode>
                <c:ptCount val="20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</c:numCache>
            </c:numRef>
          </c:cat>
          <c:val>
            <c:numRef>
              <c:f>růst!$F$31:$Y$31</c:f>
              <c:numCache>
                <c:formatCode>General</c:formatCode>
                <c:ptCount val="20"/>
                <c:pt idx="0">
                  <c:v>1.1503631999999999</c:v>
                </c:pt>
                <c:pt idx="1">
                  <c:v>1.3192031999999998</c:v>
                </c:pt>
                <c:pt idx="2">
                  <c:v>1.5443231999999998</c:v>
                </c:pt>
                <c:pt idx="3">
                  <c:v>1.7694431999999998</c:v>
                </c:pt>
                <c:pt idx="4">
                  <c:v>2.0508431999999996</c:v>
                </c:pt>
                <c:pt idx="5">
                  <c:v>2.3322431999999997</c:v>
                </c:pt>
                <c:pt idx="6">
                  <c:v>2.6699231999999995</c:v>
                </c:pt>
                <c:pt idx="7">
                  <c:v>3.0076031999999997</c:v>
                </c:pt>
                <c:pt idx="8">
                  <c:v>3.4015631999999996</c:v>
                </c:pt>
                <c:pt idx="9">
                  <c:v>3.7955231999999994</c:v>
                </c:pt>
                <c:pt idx="10">
                  <c:v>4.1894831999999997</c:v>
                </c:pt>
                <c:pt idx="11">
                  <c:v>4.6397231999999997</c:v>
                </c:pt>
                <c:pt idx="12">
                  <c:v>5.0899631999999997</c:v>
                </c:pt>
                <c:pt idx="13">
                  <c:v>5.5402031999999997</c:v>
                </c:pt>
                <c:pt idx="14">
                  <c:v>6.0467232000000006</c:v>
                </c:pt>
                <c:pt idx="15">
                  <c:v>6.5532431999999998</c:v>
                </c:pt>
                <c:pt idx="16">
                  <c:v>7.0597631999999999</c:v>
                </c:pt>
                <c:pt idx="17">
                  <c:v>7.6225632000000001</c:v>
                </c:pt>
                <c:pt idx="18">
                  <c:v>8.1853631999999994</c:v>
                </c:pt>
                <c:pt idx="19">
                  <c:v>8.779679999999999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73-4B8E-8A1F-AB1C7C411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5328767"/>
        <c:axId val="855330015"/>
      </c:barChart>
      <c:catAx>
        <c:axId val="855328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5330015"/>
        <c:crosses val="autoZero"/>
        <c:auto val="1"/>
        <c:lblAlgn val="ctr"/>
        <c:lblOffset val="100"/>
        <c:noMultiLvlLbl val="0"/>
      </c:catAx>
      <c:valAx>
        <c:axId val="85533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5328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1636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Vermouzek</dc:creator>
  <cp:keywords/>
  <dc:description/>
  <cp:lastModifiedBy>Vera Sychrova</cp:lastModifiedBy>
  <cp:revision>21</cp:revision>
  <cp:lastPrinted>2022-07-17T10:42:00Z</cp:lastPrinted>
  <dcterms:created xsi:type="dcterms:W3CDTF">2022-06-29T13:24:00Z</dcterms:created>
  <dcterms:modified xsi:type="dcterms:W3CDTF">2022-07-18T07:09:00Z</dcterms:modified>
</cp:coreProperties>
</file>